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35F1" w14:textId="77777777" w:rsidR="00927260" w:rsidRPr="007C25D5" w:rsidRDefault="000E5317" w:rsidP="007C25D5">
      <w:pPr>
        <w:spacing w:after="0" w:line="240" w:lineRule="auto"/>
        <w:rPr>
          <w:rFonts w:asciiTheme="majorHAnsi" w:hAnsiTheme="majorHAnsi" w:cstheme="majorHAnsi"/>
        </w:rPr>
      </w:pPr>
      <w:r w:rsidRPr="007C25D5">
        <w:rPr>
          <w:rFonts w:asciiTheme="majorHAnsi" w:hAnsiTheme="majorHAnsi" w:cstheme="majorHAnsi"/>
          <w:noProof/>
        </w:rPr>
        <w:drawing>
          <wp:inline distT="0" distB="0" distL="0" distR="0" wp14:anchorId="35D4808C" wp14:editId="34544A36">
            <wp:extent cx="1828800" cy="170078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28800" cy="1700784"/>
                    </a:xfrm>
                    <a:prstGeom prst="rect">
                      <a:avLst/>
                    </a:prstGeom>
                    <a:ln/>
                  </pic:spPr>
                </pic:pic>
              </a:graphicData>
            </a:graphic>
          </wp:inline>
        </w:drawing>
      </w:r>
    </w:p>
    <w:p w14:paraId="09684CC6" w14:textId="77777777" w:rsidR="00927260" w:rsidRPr="007C25D5" w:rsidRDefault="000E5317" w:rsidP="007C25D5">
      <w:pPr>
        <w:spacing w:after="0" w:line="240" w:lineRule="auto"/>
        <w:jc w:val="center"/>
        <w:rPr>
          <w:rFonts w:asciiTheme="majorHAnsi" w:eastAsia="PT Sans" w:hAnsiTheme="majorHAnsi" w:cstheme="majorHAnsi"/>
          <w:color w:val="2F5D7C"/>
          <w:sz w:val="48"/>
          <w:szCs w:val="48"/>
        </w:rPr>
      </w:pPr>
      <w:r w:rsidRPr="007C25D5">
        <w:rPr>
          <w:rFonts w:asciiTheme="majorHAnsi" w:eastAsia="PT Sans" w:hAnsiTheme="majorHAnsi" w:cstheme="majorHAnsi"/>
          <w:color w:val="2F5D7C"/>
          <w:sz w:val="48"/>
          <w:szCs w:val="48"/>
        </w:rPr>
        <w:t>Article Appraisal</w:t>
      </w:r>
    </w:p>
    <w:p w14:paraId="015602D4" w14:textId="77777777" w:rsidR="00927260" w:rsidRPr="007C25D5" w:rsidRDefault="00927260" w:rsidP="007C25D5">
      <w:pPr>
        <w:spacing w:after="0" w:line="240" w:lineRule="auto"/>
        <w:jc w:val="center"/>
        <w:rPr>
          <w:rFonts w:asciiTheme="majorHAnsi" w:eastAsia="PT Sans" w:hAnsiTheme="majorHAnsi" w:cstheme="majorHAnsi"/>
          <w:color w:val="2F5D7C"/>
          <w:sz w:val="48"/>
          <w:szCs w:val="48"/>
        </w:rPr>
      </w:pPr>
    </w:p>
    <w:p w14:paraId="3276E1B6" w14:textId="15BDDBFC" w:rsidR="004A1A41" w:rsidRPr="007C25D5" w:rsidRDefault="000E5317" w:rsidP="007C25D5">
      <w:pPr>
        <w:autoSpaceDE w:val="0"/>
        <w:autoSpaceDN w:val="0"/>
        <w:adjustRightInd w:val="0"/>
        <w:spacing w:after="0" w:line="240" w:lineRule="auto"/>
        <w:rPr>
          <w:rFonts w:asciiTheme="majorHAnsi" w:hAnsiTheme="majorHAnsi" w:cstheme="majorHAnsi"/>
          <w:lang w:val="en-CA"/>
        </w:rPr>
      </w:pPr>
      <w:r w:rsidRPr="007C25D5">
        <w:rPr>
          <w:rFonts w:asciiTheme="majorHAnsi" w:eastAsia="PT Sans" w:hAnsiTheme="majorHAnsi" w:cstheme="majorHAnsi"/>
          <w:b/>
          <w:color w:val="2F5D7C"/>
          <w:sz w:val="24"/>
          <w:szCs w:val="24"/>
        </w:rPr>
        <w:t xml:space="preserve">Article: </w:t>
      </w:r>
      <w:r w:rsidRPr="007C25D5">
        <w:rPr>
          <w:rFonts w:asciiTheme="majorHAnsi" w:hAnsiTheme="majorHAnsi" w:cstheme="majorHAnsi"/>
          <w:color w:val="808080"/>
        </w:rPr>
        <w:t xml:space="preserve"> </w:t>
      </w:r>
      <w:r w:rsidR="00B0113B" w:rsidRPr="007C25D5">
        <w:rPr>
          <w:rFonts w:asciiTheme="majorHAnsi" w:hAnsiTheme="majorHAnsi" w:cstheme="majorHAnsi"/>
          <w:lang w:val="en-CA"/>
        </w:rPr>
        <w:t>Effects of a high-dose 24-h infusion of tranexamic acid on</w:t>
      </w:r>
      <w:r w:rsidR="00B0113B" w:rsidRPr="007C25D5">
        <w:rPr>
          <w:rFonts w:asciiTheme="majorHAnsi" w:hAnsiTheme="majorHAnsi" w:cstheme="majorHAnsi"/>
          <w:lang w:val="en-CA"/>
        </w:rPr>
        <w:t xml:space="preserve"> </w:t>
      </w:r>
      <w:r w:rsidR="00B0113B" w:rsidRPr="007C25D5">
        <w:rPr>
          <w:rFonts w:asciiTheme="majorHAnsi" w:hAnsiTheme="majorHAnsi" w:cstheme="majorHAnsi"/>
          <w:lang w:val="en-CA"/>
        </w:rPr>
        <w:t>death and thromboembolic events in patients with acute</w:t>
      </w:r>
      <w:r w:rsidR="00B0113B" w:rsidRPr="007C25D5">
        <w:rPr>
          <w:rFonts w:asciiTheme="majorHAnsi" w:hAnsiTheme="majorHAnsi" w:cstheme="majorHAnsi"/>
          <w:lang w:val="en-CA"/>
        </w:rPr>
        <w:t xml:space="preserve"> </w:t>
      </w:r>
      <w:r w:rsidR="00B0113B" w:rsidRPr="007C25D5">
        <w:rPr>
          <w:rFonts w:asciiTheme="majorHAnsi" w:hAnsiTheme="majorHAnsi" w:cstheme="majorHAnsi"/>
          <w:lang w:val="en-CA"/>
        </w:rPr>
        <w:t>gastrointestinal bleeding (HALT-IT): an international</w:t>
      </w:r>
      <w:r w:rsidR="00B0113B" w:rsidRPr="007C25D5">
        <w:rPr>
          <w:rFonts w:asciiTheme="majorHAnsi" w:hAnsiTheme="majorHAnsi" w:cstheme="majorHAnsi"/>
          <w:lang w:val="en-CA"/>
        </w:rPr>
        <w:t xml:space="preserve"> </w:t>
      </w:r>
      <w:r w:rsidR="00B0113B" w:rsidRPr="007C25D5">
        <w:rPr>
          <w:rFonts w:asciiTheme="majorHAnsi" w:hAnsiTheme="majorHAnsi" w:cstheme="majorHAnsi"/>
          <w:lang w:val="en-CA"/>
        </w:rPr>
        <w:t>randomised, double-blind, placebo-controlled trial</w:t>
      </w:r>
    </w:p>
    <w:p w14:paraId="1CC5ACB6" w14:textId="1C10EAC8" w:rsidR="00927260" w:rsidRPr="007C25D5" w:rsidRDefault="000E5317" w:rsidP="007C25D5">
      <w:pPr>
        <w:spacing w:after="0" w:line="240" w:lineRule="auto"/>
        <w:rPr>
          <w:rFonts w:asciiTheme="majorHAnsi" w:eastAsia="PT Sans" w:hAnsiTheme="majorHAnsi" w:cstheme="majorHAnsi"/>
          <w:color w:val="434343"/>
          <w:sz w:val="24"/>
          <w:szCs w:val="24"/>
        </w:rPr>
      </w:pPr>
      <w:r w:rsidRPr="007C25D5">
        <w:rPr>
          <w:rFonts w:asciiTheme="majorHAnsi" w:eastAsia="PT Sans" w:hAnsiTheme="majorHAnsi" w:cstheme="majorHAnsi"/>
          <w:b/>
          <w:bCs/>
          <w:color w:val="2F5D7C"/>
          <w:sz w:val="24"/>
          <w:szCs w:val="24"/>
        </w:rPr>
        <w:t xml:space="preserve">Date of Journal Club: </w:t>
      </w:r>
      <w:r w:rsidRPr="007C25D5">
        <w:rPr>
          <w:rFonts w:asciiTheme="majorHAnsi" w:eastAsia="PT Sans" w:hAnsiTheme="majorHAnsi" w:cstheme="majorHAnsi"/>
          <w:b/>
          <w:bCs/>
          <w:color w:val="2F5D7C"/>
          <w:sz w:val="24"/>
          <w:szCs w:val="24"/>
        </w:rPr>
        <w:t xml:space="preserve">  </w:t>
      </w:r>
      <w:r w:rsidR="006E682A" w:rsidRPr="007C25D5">
        <w:rPr>
          <w:rFonts w:asciiTheme="majorHAnsi" w:hAnsiTheme="majorHAnsi" w:cstheme="majorHAnsi"/>
          <w:color w:val="434343"/>
        </w:rPr>
        <w:t>20 October 2020</w:t>
      </w:r>
    </w:p>
    <w:p w14:paraId="667F742B" w14:textId="6DE3D8BB" w:rsidR="00927260" w:rsidRPr="007C25D5" w:rsidRDefault="000E5317" w:rsidP="007C25D5">
      <w:pPr>
        <w:spacing w:after="0" w:line="240" w:lineRule="auto"/>
        <w:rPr>
          <w:rFonts w:asciiTheme="majorHAnsi" w:eastAsia="PT Sans" w:hAnsiTheme="majorHAnsi" w:cstheme="majorHAnsi"/>
          <w:color w:val="434343"/>
          <w:sz w:val="24"/>
          <w:szCs w:val="24"/>
        </w:rPr>
      </w:pPr>
      <w:r w:rsidRPr="007C25D5">
        <w:rPr>
          <w:rFonts w:asciiTheme="majorHAnsi" w:eastAsia="PT Sans" w:hAnsiTheme="majorHAnsi" w:cstheme="majorHAnsi"/>
          <w:b/>
          <w:color w:val="2F5D7C"/>
          <w:sz w:val="24"/>
          <w:szCs w:val="24"/>
        </w:rPr>
        <w:t xml:space="preserve">Resident Reviewer Name(s) and Residency Affiliation:  </w:t>
      </w:r>
      <w:r w:rsidRPr="007C25D5">
        <w:rPr>
          <w:rFonts w:asciiTheme="majorHAnsi" w:eastAsia="PT Sans" w:hAnsiTheme="majorHAnsi" w:cstheme="majorHAnsi"/>
          <w:color w:val="2F5D7C"/>
          <w:sz w:val="24"/>
          <w:szCs w:val="24"/>
        </w:rPr>
        <w:t xml:space="preserve">  </w:t>
      </w:r>
      <w:r w:rsidR="004A1A41" w:rsidRPr="007C25D5">
        <w:rPr>
          <w:rFonts w:asciiTheme="majorHAnsi" w:hAnsiTheme="majorHAnsi" w:cstheme="majorHAnsi"/>
          <w:color w:val="434343"/>
        </w:rPr>
        <w:t>Dr J</w:t>
      </w:r>
      <w:r w:rsidR="00B0113B" w:rsidRPr="007C25D5">
        <w:rPr>
          <w:rFonts w:asciiTheme="majorHAnsi" w:hAnsiTheme="majorHAnsi" w:cstheme="majorHAnsi"/>
          <w:color w:val="434343"/>
        </w:rPr>
        <w:t>essica Bryce</w:t>
      </w:r>
      <w:r w:rsidRPr="007C25D5">
        <w:rPr>
          <w:rFonts w:asciiTheme="majorHAnsi" w:hAnsiTheme="majorHAnsi" w:cstheme="majorHAnsi"/>
          <w:color w:val="434343"/>
        </w:rPr>
        <w:t>, PGY3 EM</w:t>
      </w:r>
    </w:p>
    <w:p w14:paraId="42987C59" w14:textId="6910F2F7" w:rsidR="00927260" w:rsidRPr="007C25D5" w:rsidRDefault="000E5317" w:rsidP="007C25D5">
      <w:pPr>
        <w:spacing w:after="0" w:line="240" w:lineRule="auto"/>
        <w:rPr>
          <w:rFonts w:asciiTheme="majorHAnsi" w:hAnsiTheme="majorHAnsi" w:cstheme="majorHAnsi"/>
          <w:color w:val="434343"/>
        </w:rPr>
      </w:pPr>
      <w:r w:rsidRPr="007C25D5">
        <w:rPr>
          <w:rFonts w:asciiTheme="majorHAnsi" w:eastAsia="PT Sans" w:hAnsiTheme="majorHAnsi" w:cstheme="majorHAnsi"/>
          <w:b/>
          <w:color w:val="2F5D7C"/>
          <w:sz w:val="24"/>
          <w:szCs w:val="24"/>
        </w:rPr>
        <w:t xml:space="preserve">Faculty Methodology/Bio-statistics Resource Person: </w:t>
      </w:r>
      <w:r w:rsidRPr="007C25D5">
        <w:rPr>
          <w:rFonts w:asciiTheme="majorHAnsi" w:eastAsia="PT Sans" w:hAnsiTheme="majorHAnsi" w:cstheme="majorHAnsi"/>
          <w:color w:val="2F5D7C"/>
          <w:sz w:val="24"/>
          <w:szCs w:val="24"/>
        </w:rPr>
        <w:t xml:space="preserve">  </w:t>
      </w:r>
      <w:r w:rsidRPr="007C25D5">
        <w:rPr>
          <w:rFonts w:asciiTheme="majorHAnsi" w:hAnsiTheme="majorHAnsi" w:cstheme="majorHAnsi"/>
          <w:color w:val="434343"/>
        </w:rPr>
        <w:t xml:space="preserve">Dr </w:t>
      </w:r>
      <w:r w:rsidR="00B0113B" w:rsidRPr="007C25D5">
        <w:rPr>
          <w:rFonts w:asciiTheme="majorHAnsi" w:hAnsiTheme="majorHAnsi" w:cstheme="majorHAnsi"/>
          <w:color w:val="434343"/>
        </w:rPr>
        <w:t xml:space="preserve">Frank </w:t>
      </w:r>
      <w:proofErr w:type="spellStart"/>
      <w:r w:rsidR="00B0113B" w:rsidRPr="007C25D5">
        <w:rPr>
          <w:rFonts w:asciiTheme="majorHAnsi" w:hAnsiTheme="majorHAnsi" w:cstheme="majorHAnsi"/>
          <w:color w:val="434343"/>
        </w:rPr>
        <w:t>Scheuermeyer</w:t>
      </w:r>
      <w:proofErr w:type="spellEnd"/>
    </w:p>
    <w:p w14:paraId="6EE73D4B" w14:textId="77777777" w:rsidR="00927260" w:rsidRPr="007C25D5" w:rsidRDefault="000E5317" w:rsidP="007C25D5">
      <w:pPr>
        <w:spacing w:after="0" w:line="240" w:lineRule="auto"/>
        <w:rPr>
          <w:rFonts w:asciiTheme="majorHAnsi" w:hAnsiTheme="majorHAnsi" w:cstheme="majorHAnsi"/>
          <w:color w:val="000000"/>
        </w:rPr>
      </w:pPr>
      <w:r w:rsidRPr="007C25D5">
        <w:rPr>
          <w:rFonts w:asciiTheme="majorHAnsi" w:hAnsiTheme="majorHAnsi" w:cstheme="majorHAnsi"/>
          <w:noProof/>
        </w:rPr>
        <mc:AlternateContent>
          <mc:Choice Requires="wpg">
            <w:drawing>
              <wp:anchor distT="0" distB="0" distL="114300" distR="114300" simplePos="0" relativeHeight="251658240" behindDoc="0" locked="0" layoutInCell="1" hidden="0" allowOverlap="1" wp14:anchorId="20AFBACF" wp14:editId="109E4BBA">
                <wp:simplePos x="0" y="0"/>
                <wp:positionH relativeFrom="column">
                  <wp:posOffset>114300</wp:posOffset>
                </wp:positionH>
                <wp:positionV relativeFrom="paragraph">
                  <wp:posOffset>215900</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5875" cap="flat" cmpd="sng">
                          <a:solidFill>
                            <a:srgbClr val="5E86A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66294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29400" cy="12700"/>
                        </a:xfrm>
                        <a:prstGeom prst="rect"/>
                        <a:ln/>
                      </pic:spPr>
                    </pic:pic>
                  </a:graphicData>
                </a:graphic>
              </wp:anchor>
            </w:drawing>
          </mc:Fallback>
        </mc:AlternateContent>
      </w:r>
    </w:p>
    <w:p w14:paraId="382753B8" w14:textId="77777777" w:rsidR="00927260" w:rsidRPr="007C25D5" w:rsidRDefault="00927260" w:rsidP="007C25D5">
      <w:pPr>
        <w:spacing w:after="0" w:line="240" w:lineRule="auto"/>
        <w:rPr>
          <w:rFonts w:asciiTheme="majorHAnsi" w:eastAsia="PT Sans" w:hAnsiTheme="majorHAnsi" w:cstheme="majorHAnsi"/>
          <w:color w:val="2F5D7C"/>
          <w:sz w:val="24"/>
          <w:szCs w:val="24"/>
        </w:rPr>
      </w:pPr>
    </w:p>
    <w:p w14:paraId="57C37BDB" w14:textId="77777777" w:rsidR="00927260" w:rsidRPr="007C25D5" w:rsidRDefault="000E5317"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 xml:space="preserve">Background and Study Objective(s):  </w:t>
      </w:r>
    </w:p>
    <w:p w14:paraId="47D1369A" w14:textId="2DFD00C4" w:rsidR="004E3EA7" w:rsidRPr="007C25D5" w:rsidRDefault="004E3EA7"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T</w:t>
      </w:r>
      <w:r w:rsidRPr="007C25D5">
        <w:rPr>
          <w:rFonts w:asciiTheme="majorHAnsi" w:hAnsiTheme="majorHAnsi" w:cstheme="majorHAnsi"/>
          <w:color w:val="434343"/>
        </w:rPr>
        <w:t>ranexamic acid (T</w:t>
      </w:r>
      <w:r w:rsidRPr="007C25D5">
        <w:rPr>
          <w:rFonts w:asciiTheme="majorHAnsi" w:hAnsiTheme="majorHAnsi" w:cstheme="majorHAnsi"/>
          <w:color w:val="434343"/>
        </w:rPr>
        <w:t>XA</w:t>
      </w:r>
      <w:r w:rsidRPr="007C25D5">
        <w:rPr>
          <w:rFonts w:asciiTheme="majorHAnsi" w:hAnsiTheme="majorHAnsi" w:cstheme="majorHAnsi"/>
          <w:color w:val="434343"/>
        </w:rPr>
        <w:t>)</w:t>
      </w:r>
      <w:r w:rsidRPr="007C25D5">
        <w:rPr>
          <w:rFonts w:asciiTheme="majorHAnsi" w:hAnsiTheme="majorHAnsi" w:cstheme="majorHAnsi"/>
          <w:color w:val="434343"/>
        </w:rPr>
        <w:t xml:space="preserve"> is an antifibrinolytic therapy that prevents conversion of plasminogen to plasmin. It is</w:t>
      </w:r>
      <w:r w:rsidRPr="007C25D5">
        <w:rPr>
          <w:rFonts w:asciiTheme="majorHAnsi" w:hAnsiTheme="majorHAnsi" w:cstheme="majorHAnsi"/>
          <w:color w:val="434343"/>
        </w:rPr>
        <w:t xml:space="preserve"> </w:t>
      </w:r>
      <w:r w:rsidRPr="007C25D5">
        <w:rPr>
          <w:rFonts w:asciiTheme="majorHAnsi" w:hAnsiTheme="majorHAnsi" w:cstheme="majorHAnsi"/>
          <w:color w:val="434343"/>
        </w:rPr>
        <w:t xml:space="preserve">used as a treatment for </w:t>
      </w:r>
      <w:r w:rsidRPr="007C25D5">
        <w:rPr>
          <w:rFonts w:asciiTheme="majorHAnsi" w:hAnsiTheme="majorHAnsi" w:cstheme="majorHAnsi"/>
          <w:color w:val="434343"/>
        </w:rPr>
        <w:t xml:space="preserve">surgical </w:t>
      </w:r>
      <w:r w:rsidRPr="007C25D5">
        <w:rPr>
          <w:rFonts w:asciiTheme="majorHAnsi" w:hAnsiTheme="majorHAnsi" w:cstheme="majorHAnsi"/>
          <w:color w:val="434343"/>
        </w:rPr>
        <w:t xml:space="preserve">bleeding </w:t>
      </w:r>
      <w:r w:rsidRPr="007C25D5">
        <w:rPr>
          <w:rFonts w:asciiTheme="majorHAnsi" w:hAnsiTheme="majorHAnsi" w:cstheme="majorHAnsi"/>
          <w:color w:val="434343"/>
        </w:rPr>
        <w:t xml:space="preserve">and bleeding </w:t>
      </w:r>
      <w:r w:rsidRPr="007C25D5">
        <w:rPr>
          <w:rFonts w:asciiTheme="majorHAnsi" w:hAnsiTheme="majorHAnsi" w:cstheme="majorHAnsi"/>
          <w:color w:val="434343"/>
        </w:rPr>
        <w:t xml:space="preserve">associated with major trauma, epistaxis, and heavy menstruation. </w:t>
      </w:r>
      <w:r w:rsidRPr="007C25D5">
        <w:rPr>
          <w:rFonts w:asciiTheme="majorHAnsi" w:hAnsiTheme="majorHAnsi" w:cstheme="majorHAnsi"/>
          <w:color w:val="434343"/>
        </w:rPr>
        <w:t>Many r</w:t>
      </w:r>
      <w:r w:rsidRPr="007C25D5">
        <w:rPr>
          <w:rFonts w:asciiTheme="majorHAnsi" w:hAnsiTheme="majorHAnsi" w:cstheme="majorHAnsi"/>
          <w:color w:val="434343"/>
        </w:rPr>
        <w:t xml:space="preserve">ecent studies have investigated its use in trauma (CRASH 2), head injury (CRASH 3), post-partum </w:t>
      </w:r>
      <w:r w:rsidR="001C07A7" w:rsidRPr="007C25D5">
        <w:rPr>
          <w:rFonts w:asciiTheme="majorHAnsi" w:hAnsiTheme="majorHAnsi" w:cstheme="majorHAnsi"/>
          <w:color w:val="434343"/>
        </w:rPr>
        <w:t>haemorrhage</w:t>
      </w:r>
      <w:r w:rsidRPr="007C25D5">
        <w:rPr>
          <w:rFonts w:asciiTheme="majorHAnsi" w:hAnsiTheme="majorHAnsi" w:cstheme="majorHAnsi"/>
          <w:color w:val="434343"/>
        </w:rPr>
        <w:t xml:space="preserve"> (WOMAN), intracerebral haemorrhage (TICH-2), post-tonsillectomy, and more. </w:t>
      </w:r>
    </w:p>
    <w:p w14:paraId="118B8B1A" w14:textId="46C47F4C" w:rsidR="004E3EA7" w:rsidRDefault="00783D23"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Acute g</w:t>
      </w:r>
      <w:r w:rsidR="00B0113B" w:rsidRPr="007C25D5">
        <w:rPr>
          <w:rFonts w:asciiTheme="majorHAnsi" w:hAnsiTheme="majorHAnsi" w:cstheme="majorHAnsi"/>
          <w:color w:val="434343"/>
        </w:rPr>
        <w:t xml:space="preserve">astrointestinal bleeds are </w:t>
      </w:r>
      <w:r w:rsidRPr="007C25D5">
        <w:rPr>
          <w:rFonts w:asciiTheme="majorHAnsi" w:hAnsiTheme="majorHAnsi" w:cstheme="majorHAnsi"/>
          <w:color w:val="434343"/>
        </w:rPr>
        <w:t xml:space="preserve">a </w:t>
      </w:r>
      <w:r w:rsidR="00B0113B" w:rsidRPr="007C25D5">
        <w:rPr>
          <w:rFonts w:asciiTheme="majorHAnsi" w:hAnsiTheme="majorHAnsi" w:cstheme="majorHAnsi"/>
          <w:color w:val="434343"/>
        </w:rPr>
        <w:t xml:space="preserve">common </w:t>
      </w:r>
      <w:r w:rsidRPr="007C25D5">
        <w:rPr>
          <w:rFonts w:asciiTheme="majorHAnsi" w:hAnsiTheme="majorHAnsi" w:cstheme="majorHAnsi"/>
          <w:color w:val="434343"/>
        </w:rPr>
        <w:t xml:space="preserve">presentation to the emergency department </w:t>
      </w:r>
      <w:r w:rsidR="00B0113B" w:rsidRPr="007C25D5">
        <w:rPr>
          <w:rFonts w:asciiTheme="majorHAnsi" w:hAnsiTheme="majorHAnsi" w:cstheme="majorHAnsi"/>
          <w:color w:val="434343"/>
        </w:rPr>
        <w:t xml:space="preserve">and associated with a mortality of up to 10%. </w:t>
      </w:r>
      <w:r w:rsidR="004E3EA7" w:rsidRPr="007C25D5">
        <w:rPr>
          <w:rFonts w:asciiTheme="majorHAnsi" w:hAnsiTheme="majorHAnsi" w:cstheme="majorHAnsi"/>
          <w:color w:val="434343"/>
        </w:rPr>
        <w:t>A 2012 Cochrane systemic review and meta-analysis of 1654 patient showed a reduction in all-cause mortality with the use of tranexamic acid (</w:t>
      </w:r>
      <w:r w:rsidR="00B9578D" w:rsidRPr="007C25D5">
        <w:rPr>
          <w:rFonts w:asciiTheme="majorHAnsi" w:hAnsiTheme="majorHAnsi" w:cstheme="majorHAnsi"/>
          <w:color w:val="434343"/>
        </w:rPr>
        <w:t>risk ration 0.6,</w:t>
      </w:r>
      <w:r w:rsidR="00D84209" w:rsidRPr="007C25D5">
        <w:rPr>
          <w:rFonts w:asciiTheme="majorHAnsi" w:hAnsiTheme="majorHAnsi" w:cstheme="majorHAnsi"/>
          <w:color w:val="434343"/>
        </w:rPr>
        <w:t xml:space="preserve"> 95% CI 0.42-0.87)</w:t>
      </w:r>
      <w:r w:rsidR="004E3EA7" w:rsidRPr="007C25D5">
        <w:rPr>
          <w:rFonts w:asciiTheme="majorHAnsi" w:hAnsiTheme="majorHAnsi" w:cstheme="majorHAnsi"/>
          <w:color w:val="434343"/>
        </w:rPr>
        <w:t>.</w:t>
      </w:r>
      <w:r w:rsidR="007C25D5" w:rsidRPr="007C25D5">
        <w:rPr>
          <w:rFonts w:asciiTheme="majorHAnsi" w:hAnsiTheme="majorHAnsi" w:cstheme="majorHAnsi"/>
          <w:color w:val="434343"/>
          <w:vertAlign w:val="superscript"/>
        </w:rPr>
        <w:t>1</w:t>
      </w:r>
      <w:r w:rsidR="004E3EA7" w:rsidRPr="007C25D5">
        <w:rPr>
          <w:rFonts w:asciiTheme="majorHAnsi" w:hAnsiTheme="majorHAnsi" w:cstheme="majorHAnsi"/>
          <w:color w:val="434343"/>
        </w:rPr>
        <w:t xml:space="preserve"> However, the studies included in this analysis had a high attrition rate, small sample sizes, and were at high risk of bias. Thus</w:t>
      </w:r>
      <w:r w:rsidRPr="007C25D5">
        <w:rPr>
          <w:rFonts w:asciiTheme="majorHAnsi" w:hAnsiTheme="majorHAnsi" w:cstheme="majorHAnsi"/>
          <w:color w:val="434343"/>
        </w:rPr>
        <w:t xml:space="preserve">, the authors sought to quantify the effects of TXA on acute gastrointestinal bleeding. </w:t>
      </w:r>
    </w:p>
    <w:p w14:paraId="7B546564" w14:textId="77777777" w:rsidR="007C25D5" w:rsidRPr="007C25D5" w:rsidRDefault="007C25D5" w:rsidP="007C25D5">
      <w:pPr>
        <w:spacing w:after="0" w:line="240" w:lineRule="auto"/>
        <w:rPr>
          <w:rFonts w:asciiTheme="majorHAnsi" w:hAnsiTheme="majorHAnsi" w:cstheme="majorHAnsi"/>
          <w:color w:val="434343"/>
        </w:rPr>
      </w:pPr>
    </w:p>
    <w:p w14:paraId="35CE441E" w14:textId="45180D56" w:rsidR="007C25D5" w:rsidRPr="007C25D5" w:rsidRDefault="000E5317"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 xml:space="preserve">Study Design:  </w:t>
      </w:r>
    </w:p>
    <w:p w14:paraId="112C8A26" w14:textId="48AF8310" w:rsidR="00783D23" w:rsidRPr="007C25D5" w:rsidRDefault="00783D23"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 xml:space="preserve">This is an international, multi-centre, randomized, and </w:t>
      </w:r>
      <w:r w:rsidR="003E4F49" w:rsidRPr="007C25D5">
        <w:rPr>
          <w:rFonts w:asciiTheme="majorHAnsi" w:hAnsiTheme="majorHAnsi" w:cstheme="majorHAnsi"/>
          <w:color w:val="434343"/>
        </w:rPr>
        <w:t>placebo-controlled</w:t>
      </w:r>
      <w:r w:rsidRPr="007C25D5">
        <w:rPr>
          <w:rFonts w:asciiTheme="majorHAnsi" w:hAnsiTheme="majorHAnsi" w:cstheme="majorHAnsi"/>
          <w:color w:val="434343"/>
        </w:rPr>
        <w:t xml:space="preserve"> trial of 12,009 patients in 164 hospitals in fifteen countries. Over 2/3 of study participants were recruited from the United Kingdom and Pakistan. Inclusion criteria included adults (&gt;16 or &gt;18 years old depending on the age of majority in their country) who presented with significant gastrointestinal bleeding. </w:t>
      </w:r>
      <w:r w:rsidR="004A1A41" w:rsidRPr="007C25D5">
        <w:rPr>
          <w:rFonts w:asciiTheme="majorHAnsi" w:hAnsiTheme="majorHAnsi" w:cstheme="majorHAnsi"/>
          <w:color w:val="434343"/>
        </w:rPr>
        <w:t xml:space="preserve">Significant bleeding was defined as that which posed a risk of death (hypotension, tachycardia, signs of shock, requiring urgent transfusion, </w:t>
      </w:r>
      <w:proofErr w:type="gramStart"/>
      <w:r w:rsidR="004A1A41" w:rsidRPr="007C25D5">
        <w:rPr>
          <w:rFonts w:asciiTheme="majorHAnsi" w:hAnsiTheme="majorHAnsi" w:cstheme="majorHAnsi"/>
          <w:color w:val="434343"/>
        </w:rPr>
        <w:t>endoscopy</w:t>
      </w:r>
      <w:proofErr w:type="gramEnd"/>
      <w:r w:rsidR="004A1A41" w:rsidRPr="007C25D5">
        <w:rPr>
          <w:rFonts w:asciiTheme="majorHAnsi" w:hAnsiTheme="majorHAnsi" w:cstheme="majorHAnsi"/>
          <w:color w:val="434343"/>
        </w:rPr>
        <w:t xml:space="preserve"> or surgery). </w:t>
      </w:r>
      <w:r w:rsidRPr="007C25D5">
        <w:rPr>
          <w:rFonts w:asciiTheme="majorHAnsi" w:hAnsiTheme="majorHAnsi" w:cstheme="majorHAnsi"/>
          <w:color w:val="434343"/>
        </w:rPr>
        <w:t xml:space="preserve">Patients were enrolled only if the responsible clinician </w:t>
      </w:r>
      <w:proofErr w:type="gramStart"/>
      <w:r w:rsidRPr="007C25D5">
        <w:rPr>
          <w:rFonts w:asciiTheme="majorHAnsi" w:hAnsiTheme="majorHAnsi" w:cstheme="majorHAnsi"/>
          <w:color w:val="434343"/>
        </w:rPr>
        <w:t>was</w:t>
      </w:r>
      <w:proofErr w:type="gramEnd"/>
      <w:r w:rsidRPr="007C25D5">
        <w:rPr>
          <w:rFonts w:asciiTheme="majorHAnsi" w:hAnsiTheme="majorHAnsi" w:cstheme="majorHAnsi"/>
          <w:color w:val="434343"/>
        </w:rPr>
        <w:t xml:space="preserve"> “substantially uncertain” if TXA would be appropriate for the particular patient. Exclusion criteria were not stated. Patients, caregivers, outcome assessors were blinded to allocation. </w:t>
      </w:r>
    </w:p>
    <w:p w14:paraId="0B26920D" w14:textId="1B89F8CD" w:rsidR="004A1A41" w:rsidRPr="007C25D5" w:rsidRDefault="004A1A41"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The primary outcome was death due to bleeding within 5 days of randomization. There were many secondary outcomes including rebleeding, surgery or radiology intervention, blood product transfusion, thromboembolic events, seizures, etc.</w:t>
      </w:r>
    </w:p>
    <w:p w14:paraId="50457A92" w14:textId="6FC2A4E9" w:rsidR="004A1A41" w:rsidRDefault="004A1A41"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 xml:space="preserve">The intervention (TXA) group received 1g of TXA in 100mL of 0.9% normal saline slow IV over 10 minutes followed by a maintenance of 3g of TXA added to 1L of isotonic fluids and transfused over 24 hours. The placebo group received only normal saline. The study arms were otherwise treated the same. </w:t>
      </w:r>
    </w:p>
    <w:p w14:paraId="193D7AF4" w14:textId="77777777" w:rsidR="007C25D5" w:rsidRPr="007C25D5" w:rsidRDefault="007C25D5" w:rsidP="007C25D5">
      <w:pPr>
        <w:spacing w:after="0" w:line="240" w:lineRule="auto"/>
        <w:rPr>
          <w:rFonts w:asciiTheme="majorHAnsi" w:hAnsiTheme="majorHAnsi" w:cstheme="majorHAnsi"/>
          <w:color w:val="434343"/>
        </w:rPr>
      </w:pPr>
    </w:p>
    <w:p w14:paraId="5262A7EA" w14:textId="77777777" w:rsidR="00281494" w:rsidRPr="007C25D5" w:rsidRDefault="000E5317"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 xml:space="preserve">Results:  </w:t>
      </w:r>
    </w:p>
    <w:p w14:paraId="18E52254" w14:textId="7D866D6E" w:rsidR="00281494" w:rsidRPr="007C25D5" w:rsidRDefault="00281494"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color w:val="434343"/>
        </w:rPr>
        <w:t>The mean age of the patients was 58</w:t>
      </w:r>
      <w:r w:rsidR="001C07A7">
        <w:rPr>
          <w:rFonts w:asciiTheme="majorHAnsi" w:eastAsia="PT Sans" w:hAnsiTheme="majorHAnsi" w:cstheme="majorHAnsi"/>
          <w:color w:val="434343"/>
        </w:rPr>
        <w:t xml:space="preserve"> and </w:t>
      </w:r>
      <w:r w:rsidRPr="007C25D5">
        <w:rPr>
          <w:rFonts w:asciiTheme="majorHAnsi" w:eastAsia="PT Sans" w:hAnsiTheme="majorHAnsi" w:cstheme="majorHAnsi"/>
          <w:color w:val="434343"/>
        </w:rPr>
        <w:t>65% of patients were male. The mean time of randomization was 22 hours</w:t>
      </w:r>
      <w:r w:rsidRPr="007C25D5">
        <w:rPr>
          <w:rFonts w:asciiTheme="majorHAnsi" w:eastAsia="PT Sans" w:hAnsiTheme="majorHAnsi" w:cstheme="majorHAnsi"/>
          <w:color w:val="434343"/>
        </w:rPr>
        <w:t xml:space="preserve">. The baseline patient characteristics were similar between groups. </w:t>
      </w:r>
    </w:p>
    <w:p w14:paraId="58596638" w14:textId="561F7C69" w:rsidR="00493204" w:rsidRPr="007C25D5" w:rsidRDefault="00B618A2"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lastRenderedPageBreak/>
        <w:t>The primary outcome, death due to bleeding at 5 days following randomisation</w:t>
      </w:r>
      <w:r w:rsidR="007C25D5">
        <w:rPr>
          <w:rFonts w:asciiTheme="majorHAnsi" w:hAnsiTheme="majorHAnsi" w:cstheme="majorHAnsi"/>
          <w:color w:val="434343"/>
        </w:rPr>
        <w:t>,</w:t>
      </w:r>
      <w:r w:rsidRPr="007C25D5">
        <w:rPr>
          <w:rFonts w:asciiTheme="majorHAnsi" w:hAnsiTheme="majorHAnsi" w:cstheme="majorHAnsi"/>
          <w:color w:val="434343"/>
        </w:rPr>
        <w:t xml:space="preserve"> occurred in 4.2% of patients who received TXA and 4.4% of patients who received placebo; this was not statistically significant </w:t>
      </w:r>
      <w:r w:rsidRPr="007C25D5">
        <w:rPr>
          <w:rFonts w:asciiTheme="majorHAnsi" w:hAnsiTheme="majorHAnsi" w:cstheme="majorHAnsi"/>
          <w:color w:val="434343"/>
        </w:rPr>
        <w:t>(95% CI 0.82-1.15)</w:t>
      </w:r>
      <w:r w:rsidRPr="007C25D5">
        <w:rPr>
          <w:rFonts w:asciiTheme="majorHAnsi" w:hAnsiTheme="majorHAnsi" w:cstheme="majorHAnsi"/>
          <w:color w:val="434343"/>
        </w:rPr>
        <w:t xml:space="preserve">. There was no statistically significant difference between groups in </w:t>
      </w:r>
      <w:r w:rsidR="00281494" w:rsidRPr="007C25D5">
        <w:rPr>
          <w:rFonts w:asciiTheme="majorHAnsi" w:hAnsiTheme="majorHAnsi" w:cstheme="majorHAnsi"/>
          <w:color w:val="434343"/>
        </w:rPr>
        <w:t xml:space="preserve">death due to </w:t>
      </w:r>
      <w:r w:rsidRPr="007C25D5">
        <w:rPr>
          <w:rFonts w:asciiTheme="majorHAnsi" w:hAnsiTheme="majorHAnsi" w:cstheme="majorHAnsi"/>
          <w:color w:val="434343"/>
        </w:rPr>
        <w:t xml:space="preserve">thromboembolic events, sepsis, organ failure, or all cause mortality at 24 hours or 28 days. </w:t>
      </w:r>
      <w:r w:rsidR="00493204" w:rsidRPr="007C25D5">
        <w:rPr>
          <w:rFonts w:asciiTheme="majorHAnsi" w:hAnsiTheme="majorHAnsi" w:cstheme="majorHAnsi"/>
          <w:color w:val="434343"/>
        </w:rPr>
        <w:t xml:space="preserve">Sub-group analysis </w:t>
      </w:r>
      <w:r w:rsidR="001C07A7">
        <w:rPr>
          <w:rFonts w:asciiTheme="majorHAnsi" w:hAnsiTheme="majorHAnsi" w:cstheme="majorHAnsi"/>
          <w:color w:val="434343"/>
        </w:rPr>
        <w:t>demonstrat</w:t>
      </w:r>
      <w:r w:rsidR="00493204" w:rsidRPr="007C25D5">
        <w:rPr>
          <w:rFonts w:asciiTheme="majorHAnsi" w:hAnsiTheme="majorHAnsi" w:cstheme="majorHAnsi"/>
          <w:color w:val="434343"/>
        </w:rPr>
        <w:t xml:space="preserve">ed no difference between groups when stratified for time since onset of bleed, suspected bleeding location (upper or lower), variceal/liver bleed, and </w:t>
      </w:r>
      <w:proofErr w:type="spellStart"/>
      <w:r w:rsidR="00493204" w:rsidRPr="007C25D5">
        <w:rPr>
          <w:rFonts w:asciiTheme="majorHAnsi" w:hAnsiTheme="majorHAnsi" w:cstheme="majorHAnsi"/>
          <w:color w:val="434343"/>
        </w:rPr>
        <w:t>rockall</w:t>
      </w:r>
      <w:proofErr w:type="spellEnd"/>
      <w:r w:rsidR="00493204" w:rsidRPr="007C25D5">
        <w:rPr>
          <w:rFonts w:asciiTheme="majorHAnsi" w:hAnsiTheme="majorHAnsi" w:cstheme="majorHAnsi"/>
          <w:color w:val="434343"/>
        </w:rPr>
        <w:t xml:space="preserve"> score.</w:t>
      </w:r>
    </w:p>
    <w:p w14:paraId="344B93F0" w14:textId="63CA061D" w:rsidR="00B618A2" w:rsidRPr="007C25D5" w:rsidRDefault="00B618A2"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 xml:space="preserve">There was no difference in the </w:t>
      </w:r>
      <w:r w:rsidR="00281494" w:rsidRPr="007C25D5">
        <w:rPr>
          <w:rFonts w:asciiTheme="majorHAnsi" w:hAnsiTheme="majorHAnsi" w:cstheme="majorHAnsi"/>
          <w:color w:val="434343"/>
        </w:rPr>
        <w:t xml:space="preserve">secondary outcomes that looked at other therapeutic interventions (need for endoscopy, surgery, transfusion, etc). There was a statistically significant higher number of venous events (DVT, PE) and seizures in the TXA group (0.8% vs 0.4% and 0.6% vs 0.4%, respectively), although absolute numbers were very small and the study was not powered for this outcome. </w:t>
      </w:r>
    </w:p>
    <w:p w14:paraId="40125438" w14:textId="77777777" w:rsidR="00B618A2" w:rsidRPr="007C25D5" w:rsidRDefault="00B618A2" w:rsidP="007C25D5">
      <w:pPr>
        <w:spacing w:after="0" w:line="240" w:lineRule="auto"/>
        <w:rPr>
          <w:rFonts w:asciiTheme="majorHAnsi" w:hAnsiTheme="majorHAnsi" w:cstheme="majorHAnsi"/>
          <w:color w:val="434343"/>
        </w:rPr>
      </w:pPr>
    </w:p>
    <w:p w14:paraId="7C1A0FEF" w14:textId="77777777" w:rsidR="00927260" w:rsidRPr="007C25D5" w:rsidRDefault="000E5317"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 xml:space="preserve">Validity of Results:  </w:t>
      </w:r>
    </w:p>
    <w:p w14:paraId="32791093" w14:textId="2ED66B54" w:rsidR="00672AB5" w:rsidRPr="007C25D5" w:rsidRDefault="00672AB5"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 xml:space="preserve">This study addresses a clearly defined clinical question </w:t>
      </w:r>
      <w:r w:rsidR="006B378D" w:rsidRPr="007C25D5">
        <w:rPr>
          <w:rFonts w:asciiTheme="majorHAnsi" w:hAnsiTheme="majorHAnsi" w:cstheme="majorHAnsi"/>
          <w:color w:val="434343"/>
        </w:rPr>
        <w:t xml:space="preserve">and mostly adhered to accepted methodologic principles. It was a large multi-national RCT and was appropriately powered. </w:t>
      </w:r>
      <w:r w:rsidR="001C07A7">
        <w:rPr>
          <w:rFonts w:asciiTheme="majorHAnsi" w:hAnsiTheme="majorHAnsi" w:cstheme="majorHAnsi"/>
          <w:color w:val="434343"/>
        </w:rPr>
        <w:t>I</w:t>
      </w:r>
      <w:r w:rsidR="006B378D" w:rsidRPr="007C25D5">
        <w:rPr>
          <w:rFonts w:asciiTheme="majorHAnsi" w:hAnsiTheme="majorHAnsi" w:cstheme="majorHAnsi"/>
          <w:color w:val="434343"/>
        </w:rPr>
        <w:t xml:space="preserve">ntention-to-treat analysis was used. Very few of the patients randomized were lost to follow-up or excluded for other reasons. </w:t>
      </w:r>
    </w:p>
    <w:p w14:paraId="0DBE9E9E" w14:textId="690FC27D" w:rsidR="00672AB5" w:rsidRPr="007C25D5" w:rsidRDefault="000744C2"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 xml:space="preserve">Notably, the primary outcome was changed </w:t>
      </w:r>
      <w:r w:rsidRPr="007C25D5">
        <w:rPr>
          <w:rFonts w:asciiTheme="majorHAnsi" w:hAnsiTheme="majorHAnsi" w:cstheme="majorHAnsi"/>
          <w:color w:val="434343"/>
        </w:rPr>
        <w:t>after &gt;80% of study participants were recruited. The initial sample size calculation was based on the primary outcome of all cause mortality at 28 days following randomization. However, the authors realized over half of all deaths were due to non-bleeding causes</w:t>
      </w:r>
      <w:r w:rsidR="00493204" w:rsidRPr="007C25D5">
        <w:rPr>
          <w:rFonts w:asciiTheme="majorHAnsi" w:hAnsiTheme="majorHAnsi" w:cstheme="majorHAnsi"/>
          <w:color w:val="434343"/>
        </w:rPr>
        <w:t xml:space="preserve"> (~57%)</w:t>
      </w:r>
      <w:r w:rsidRPr="007C25D5">
        <w:rPr>
          <w:rFonts w:asciiTheme="majorHAnsi" w:hAnsiTheme="majorHAnsi" w:cstheme="majorHAnsi"/>
          <w:color w:val="434343"/>
        </w:rPr>
        <w:t xml:space="preserve">, rather than an anticipated death due to bleeding rate of </w:t>
      </w:r>
      <w:r w:rsidR="00672AB5" w:rsidRPr="007C25D5">
        <w:rPr>
          <w:rFonts w:asciiTheme="majorHAnsi" w:hAnsiTheme="majorHAnsi" w:cstheme="majorHAnsi"/>
          <w:color w:val="434343"/>
        </w:rPr>
        <w:t>~60%. Additionally, the authors considered data from two additional trials (CRASH-2 and WOMAN) that were not initially published at the time of initial study design. In articles published in 2018 and 2019, prior to the publication of the HALT-IT trial data and analysis, the authors argue that using all cause mortality as the primary outcome has low power, lacks generalizability, and can obscure harmful effects of the intervention.</w:t>
      </w:r>
      <w:r w:rsidR="007C25D5" w:rsidRPr="007C25D5">
        <w:rPr>
          <w:rFonts w:asciiTheme="majorHAnsi" w:hAnsiTheme="majorHAnsi" w:cstheme="majorHAnsi"/>
          <w:color w:val="434343"/>
          <w:vertAlign w:val="superscript"/>
        </w:rPr>
        <w:t>2</w:t>
      </w:r>
      <w:r w:rsidR="00672AB5" w:rsidRPr="007C25D5">
        <w:rPr>
          <w:rFonts w:asciiTheme="majorHAnsi" w:hAnsiTheme="majorHAnsi" w:cstheme="majorHAnsi"/>
          <w:color w:val="434343"/>
          <w:vertAlign w:val="superscript"/>
        </w:rPr>
        <w:t>,</w:t>
      </w:r>
      <w:r w:rsidR="007C25D5" w:rsidRPr="007C25D5">
        <w:rPr>
          <w:rFonts w:asciiTheme="majorHAnsi" w:hAnsiTheme="majorHAnsi" w:cstheme="majorHAnsi"/>
          <w:color w:val="434343"/>
          <w:vertAlign w:val="superscript"/>
        </w:rPr>
        <w:t>3</w:t>
      </w:r>
      <w:r w:rsidR="00672AB5" w:rsidRPr="007C25D5">
        <w:rPr>
          <w:rFonts w:asciiTheme="majorHAnsi" w:hAnsiTheme="majorHAnsi" w:cstheme="majorHAnsi"/>
          <w:color w:val="434343"/>
        </w:rPr>
        <w:t xml:space="preserve"> </w:t>
      </w:r>
      <w:r w:rsidR="006B378D" w:rsidRPr="007C25D5">
        <w:rPr>
          <w:rFonts w:asciiTheme="majorHAnsi" w:hAnsiTheme="majorHAnsi" w:cstheme="majorHAnsi"/>
          <w:color w:val="434343"/>
        </w:rPr>
        <w:t xml:space="preserve">However, changing the primary outcome does bring into question the validity of the results. </w:t>
      </w:r>
      <w:r w:rsidR="003E4F49" w:rsidRPr="007C25D5">
        <w:rPr>
          <w:rFonts w:asciiTheme="majorHAnsi" w:hAnsiTheme="majorHAnsi" w:cstheme="majorHAnsi"/>
          <w:color w:val="434343"/>
        </w:rPr>
        <w:t>Regardless, there was no difference in mortality rates between groups regardless of the cause or timing of death.</w:t>
      </w:r>
    </w:p>
    <w:p w14:paraId="43CA5E7F" w14:textId="504827DE" w:rsidR="00672AB5" w:rsidRPr="007C25D5" w:rsidRDefault="00493204"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 xml:space="preserve">Additionally, eligibility criteria included physician “substantial uncertainty” regarding the utility of TXA for the specific patient. </w:t>
      </w:r>
      <w:r w:rsidR="00B9578D" w:rsidRPr="007C25D5">
        <w:rPr>
          <w:rFonts w:asciiTheme="majorHAnsi" w:hAnsiTheme="majorHAnsi" w:cstheme="majorHAnsi"/>
          <w:color w:val="434343"/>
        </w:rPr>
        <w:t xml:space="preserve">This inclusion criteria </w:t>
      </w:r>
      <w:proofErr w:type="gramStart"/>
      <w:r w:rsidR="00B9578D" w:rsidRPr="007C25D5">
        <w:rPr>
          <w:rFonts w:asciiTheme="majorHAnsi" w:hAnsiTheme="majorHAnsi" w:cstheme="majorHAnsi"/>
          <w:color w:val="434343"/>
        </w:rPr>
        <w:t>is</w:t>
      </w:r>
      <w:proofErr w:type="gramEnd"/>
      <w:r w:rsidR="00B9578D" w:rsidRPr="007C25D5">
        <w:rPr>
          <w:rFonts w:asciiTheme="majorHAnsi" w:hAnsiTheme="majorHAnsi" w:cstheme="majorHAnsi"/>
          <w:color w:val="434343"/>
        </w:rPr>
        <w:t xml:space="preserve"> pragmatic. However, it alters the reproducibility of the study given the study results will alter physician judgement of the utility of TXA for future patients presenting with gastrointestinal bleeds. </w:t>
      </w:r>
    </w:p>
    <w:p w14:paraId="7B2E43CA" w14:textId="77777777" w:rsidR="00B9578D" w:rsidRPr="007C25D5" w:rsidRDefault="00B9578D" w:rsidP="007C25D5">
      <w:pPr>
        <w:spacing w:after="0" w:line="240" w:lineRule="auto"/>
        <w:rPr>
          <w:rFonts w:asciiTheme="majorHAnsi" w:hAnsiTheme="majorHAnsi" w:cstheme="majorHAnsi"/>
          <w:color w:val="434343"/>
        </w:rPr>
      </w:pPr>
    </w:p>
    <w:p w14:paraId="66B0F9EE" w14:textId="77777777" w:rsidR="00927260" w:rsidRPr="007C25D5" w:rsidRDefault="000E5317"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 xml:space="preserve">Generalizability of Results:  </w:t>
      </w:r>
    </w:p>
    <w:p w14:paraId="7C466069" w14:textId="085FB7D0" w:rsidR="003E4F49" w:rsidRPr="007C25D5" w:rsidRDefault="007D0C47" w:rsidP="007C25D5">
      <w:pPr>
        <w:spacing w:after="0" w:line="240" w:lineRule="auto"/>
        <w:rPr>
          <w:rFonts w:asciiTheme="majorHAnsi" w:hAnsiTheme="majorHAnsi" w:cstheme="majorHAnsi"/>
          <w:color w:val="434343"/>
        </w:rPr>
      </w:pPr>
      <w:r w:rsidRPr="007C25D5">
        <w:rPr>
          <w:rFonts w:asciiTheme="majorHAnsi" w:hAnsiTheme="majorHAnsi" w:cstheme="majorHAnsi"/>
          <w:color w:val="434343"/>
        </w:rPr>
        <w:t>This study has strong external validity.</w:t>
      </w:r>
      <w:r w:rsidR="00493204" w:rsidRPr="007C25D5">
        <w:rPr>
          <w:rFonts w:asciiTheme="majorHAnsi" w:hAnsiTheme="majorHAnsi" w:cstheme="majorHAnsi"/>
          <w:color w:val="434343"/>
        </w:rPr>
        <w:t xml:space="preserve"> </w:t>
      </w:r>
      <w:r w:rsidR="00493204" w:rsidRPr="007C25D5">
        <w:rPr>
          <w:rFonts w:asciiTheme="majorHAnsi" w:hAnsiTheme="majorHAnsi" w:cstheme="majorHAnsi"/>
          <w:color w:val="434343"/>
        </w:rPr>
        <w:t>Overall, this trial addresses a clearly focused question which is relevant to the emergency department setting</w:t>
      </w:r>
      <w:r w:rsidR="00493204" w:rsidRPr="007C25D5">
        <w:rPr>
          <w:rFonts w:asciiTheme="majorHAnsi" w:hAnsiTheme="majorHAnsi" w:cstheme="majorHAnsi"/>
          <w:color w:val="434343"/>
        </w:rPr>
        <w:t xml:space="preserve">. </w:t>
      </w:r>
      <w:proofErr w:type="gramStart"/>
      <w:r w:rsidR="00B9578D" w:rsidRPr="007C25D5">
        <w:rPr>
          <w:rFonts w:asciiTheme="majorHAnsi" w:hAnsiTheme="majorHAnsi" w:cstheme="majorHAnsi"/>
          <w:color w:val="434343"/>
        </w:rPr>
        <w:t>A large number of</w:t>
      </w:r>
      <w:proofErr w:type="gramEnd"/>
      <w:r w:rsidR="00B9578D" w:rsidRPr="007C25D5">
        <w:rPr>
          <w:rFonts w:asciiTheme="majorHAnsi" w:hAnsiTheme="majorHAnsi" w:cstheme="majorHAnsi"/>
          <w:color w:val="434343"/>
        </w:rPr>
        <w:t xml:space="preserve"> patients </w:t>
      </w:r>
      <w:r w:rsidR="00493204" w:rsidRPr="007C25D5">
        <w:rPr>
          <w:rFonts w:asciiTheme="majorHAnsi" w:hAnsiTheme="majorHAnsi" w:cstheme="majorHAnsi"/>
          <w:color w:val="434343"/>
        </w:rPr>
        <w:t xml:space="preserve">were recruited from acute care settings.  </w:t>
      </w:r>
      <w:r w:rsidRPr="007C25D5">
        <w:rPr>
          <w:rFonts w:asciiTheme="majorHAnsi" w:hAnsiTheme="majorHAnsi" w:cstheme="majorHAnsi"/>
          <w:color w:val="434343"/>
        </w:rPr>
        <w:t xml:space="preserve">Although no specific Canadian epidemiology data was found, the baseline patient characteristics are generally </w:t>
      </w:r>
      <w:proofErr w:type="gramStart"/>
      <w:r w:rsidRPr="007C25D5">
        <w:rPr>
          <w:rFonts w:asciiTheme="majorHAnsi" w:hAnsiTheme="majorHAnsi" w:cstheme="majorHAnsi"/>
          <w:color w:val="434343"/>
        </w:rPr>
        <w:t>similar to</w:t>
      </w:r>
      <w:proofErr w:type="gramEnd"/>
      <w:r w:rsidRPr="007C25D5">
        <w:rPr>
          <w:rFonts w:asciiTheme="majorHAnsi" w:hAnsiTheme="majorHAnsi" w:cstheme="majorHAnsi"/>
          <w:color w:val="434343"/>
        </w:rPr>
        <w:t xml:space="preserve"> those who present with gastrointestinal bleeds to British Columbia emergency departments. </w:t>
      </w:r>
      <w:r w:rsidR="00493204" w:rsidRPr="007C25D5">
        <w:rPr>
          <w:rFonts w:asciiTheme="majorHAnsi" w:hAnsiTheme="majorHAnsi" w:cstheme="majorHAnsi"/>
          <w:color w:val="434343"/>
        </w:rPr>
        <w:t>Baseline characteristics of patients studied were similar between groups; most (~89%) of bleeding were characterized as upper GI bleeds, ~45% of bleeding was suspected variceal, and ~8-9% of patients were taking oral anticoagulants. The large number of secondary outcomes for which data was collected are clinically important (i.e. need for endoscopy, transfusion, surgical intervention, etc).</w:t>
      </w:r>
    </w:p>
    <w:p w14:paraId="4E289CC0" w14:textId="65959C41" w:rsidR="007D0C47" w:rsidRPr="007C25D5" w:rsidRDefault="007D0C47" w:rsidP="007C25D5">
      <w:pPr>
        <w:spacing w:after="0" w:line="240" w:lineRule="auto"/>
        <w:rPr>
          <w:rFonts w:asciiTheme="majorHAnsi" w:hAnsiTheme="majorHAnsi" w:cstheme="majorHAnsi"/>
          <w:color w:val="434343"/>
        </w:rPr>
      </w:pPr>
    </w:p>
    <w:p w14:paraId="3074676A" w14:textId="77777777" w:rsidR="00D84209" w:rsidRPr="007C25D5" w:rsidRDefault="00B9578D"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The</w:t>
      </w:r>
      <w:r w:rsidR="000E5317" w:rsidRPr="007C25D5">
        <w:rPr>
          <w:rFonts w:asciiTheme="majorHAnsi" w:eastAsia="PT Sans" w:hAnsiTheme="majorHAnsi" w:cstheme="majorHAnsi"/>
          <w:b/>
          <w:color w:val="2F5D7C"/>
          <w:sz w:val="24"/>
          <w:szCs w:val="24"/>
        </w:rPr>
        <w:t xml:space="preserve"> Bottom Line:  </w:t>
      </w:r>
    </w:p>
    <w:p w14:paraId="3EB58868" w14:textId="4612481A" w:rsidR="00B9578D" w:rsidRPr="007C25D5" w:rsidRDefault="00D84209" w:rsidP="007C25D5">
      <w:pPr>
        <w:spacing w:after="0" w:line="240" w:lineRule="auto"/>
        <w:rPr>
          <w:rFonts w:asciiTheme="majorHAnsi" w:eastAsia="PT Sans" w:hAnsiTheme="majorHAnsi" w:cstheme="majorHAnsi"/>
          <w:color w:val="434343"/>
        </w:rPr>
      </w:pPr>
      <w:r w:rsidRPr="007C25D5">
        <w:rPr>
          <w:rFonts w:asciiTheme="majorHAnsi" w:eastAsia="PT Sans" w:hAnsiTheme="majorHAnsi" w:cstheme="majorHAnsi"/>
          <w:color w:val="434343"/>
        </w:rPr>
        <w:t>The ‘HALT-IT trial’</w:t>
      </w:r>
      <w:r w:rsidR="00B9578D" w:rsidRPr="007C25D5">
        <w:rPr>
          <w:rFonts w:asciiTheme="majorHAnsi" w:eastAsia="PT Sans" w:hAnsiTheme="majorHAnsi" w:cstheme="majorHAnsi"/>
          <w:color w:val="434343"/>
        </w:rPr>
        <w:t xml:space="preserve"> is a large, multi-centre, randomized, </w:t>
      </w:r>
      <w:proofErr w:type="gramStart"/>
      <w:r w:rsidR="00B9578D" w:rsidRPr="007C25D5">
        <w:rPr>
          <w:rFonts w:asciiTheme="majorHAnsi" w:eastAsia="PT Sans" w:hAnsiTheme="majorHAnsi" w:cstheme="majorHAnsi"/>
          <w:color w:val="434343"/>
        </w:rPr>
        <w:t>placebo controlled</w:t>
      </w:r>
      <w:proofErr w:type="gramEnd"/>
      <w:r w:rsidR="00B9578D" w:rsidRPr="007C25D5">
        <w:rPr>
          <w:rFonts w:asciiTheme="majorHAnsi" w:eastAsia="PT Sans" w:hAnsiTheme="majorHAnsi" w:cstheme="majorHAnsi"/>
          <w:color w:val="434343"/>
        </w:rPr>
        <w:t xml:space="preserve"> trial which demonstrated no benefit from tranexamic acid in GI bleeds. The results are especially significant given a previously published meta-analysis that suggested that TXA may have a</w:t>
      </w:r>
      <w:r w:rsidRPr="007C25D5">
        <w:rPr>
          <w:rFonts w:asciiTheme="majorHAnsi" w:eastAsia="PT Sans" w:hAnsiTheme="majorHAnsi" w:cstheme="majorHAnsi"/>
          <w:color w:val="434343"/>
        </w:rPr>
        <w:t xml:space="preserve"> positive effect on all-cause mortality. </w:t>
      </w:r>
      <w:r w:rsidR="00B9578D" w:rsidRPr="007C25D5">
        <w:rPr>
          <w:rFonts w:asciiTheme="majorHAnsi" w:eastAsia="PT Sans" w:hAnsiTheme="majorHAnsi" w:cstheme="majorHAnsi"/>
          <w:color w:val="434343"/>
        </w:rPr>
        <w:t xml:space="preserve">Although the study authors change the primary outcome part-way through recruitment, the results were neutral regardless of cause of mortality. </w:t>
      </w:r>
      <w:r w:rsidRPr="007C25D5">
        <w:rPr>
          <w:rFonts w:asciiTheme="majorHAnsi" w:eastAsia="PT Sans" w:hAnsiTheme="majorHAnsi" w:cstheme="majorHAnsi"/>
          <w:color w:val="434343"/>
        </w:rPr>
        <w:t xml:space="preserve">The study has good external validity. Overall, the results suggest that TXA does not have a benefit in GI bleeds and should not be used specifically for this indication. </w:t>
      </w:r>
    </w:p>
    <w:p w14:paraId="5340786E" w14:textId="6B5901CE" w:rsidR="00B9578D" w:rsidRPr="007C25D5" w:rsidRDefault="00B9578D" w:rsidP="007C25D5">
      <w:pPr>
        <w:spacing w:after="0" w:line="240" w:lineRule="auto"/>
        <w:rPr>
          <w:rFonts w:asciiTheme="majorHAnsi" w:eastAsia="PT Sans" w:hAnsiTheme="majorHAnsi" w:cstheme="majorHAnsi"/>
          <w:color w:val="434343"/>
        </w:rPr>
      </w:pPr>
    </w:p>
    <w:p w14:paraId="1C4FBF4E" w14:textId="71362079" w:rsidR="00672AB5" w:rsidRPr="007C25D5" w:rsidRDefault="00672AB5" w:rsidP="007C25D5">
      <w:pPr>
        <w:spacing w:after="0" w:line="240" w:lineRule="auto"/>
        <w:rPr>
          <w:rFonts w:asciiTheme="majorHAnsi" w:eastAsia="PT Sans" w:hAnsiTheme="majorHAnsi" w:cstheme="majorHAnsi"/>
          <w:b/>
          <w:color w:val="2F5D7C"/>
          <w:sz w:val="24"/>
          <w:szCs w:val="24"/>
        </w:rPr>
      </w:pPr>
      <w:r w:rsidRPr="007C25D5">
        <w:rPr>
          <w:rFonts w:asciiTheme="majorHAnsi" w:eastAsia="PT Sans" w:hAnsiTheme="majorHAnsi" w:cstheme="majorHAnsi"/>
          <w:b/>
          <w:color w:val="2F5D7C"/>
          <w:sz w:val="24"/>
          <w:szCs w:val="24"/>
        </w:rPr>
        <w:t>References</w:t>
      </w:r>
      <w:r w:rsidRPr="007C25D5">
        <w:rPr>
          <w:rFonts w:asciiTheme="majorHAnsi" w:eastAsia="PT Sans" w:hAnsiTheme="majorHAnsi" w:cstheme="majorHAnsi"/>
          <w:b/>
          <w:color w:val="2F5D7C"/>
          <w:sz w:val="24"/>
          <w:szCs w:val="24"/>
        </w:rPr>
        <w:t xml:space="preserve">:  </w:t>
      </w:r>
    </w:p>
    <w:p w14:paraId="676BDCC8" w14:textId="28136E5C" w:rsidR="007C25D5" w:rsidRPr="005B742F" w:rsidRDefault="007C25D5" w:rsidP="007C25D5">
      <w:pPr>
        <w:numPr>
          <w:ilvl w:val="0"/>
          <w:numId w:val="1"/>
        </w:numPr>
        <w:spacing w:after="0" w:line="240" w:lineRule="auto"/>
        <w:rPr>
          <w:rFonts w:asciiTheme="majorHAnsi" w:eastAsia="PT Sans" w:hAnsiTheme="majorHAnsi" w:cstheme="majorHAnsi"/>
          <w:color w:val="434343"/>
          <w:lang w:val="en-CA"/>
        </w:rPr>
      </w:pPr>
      <w:proofErr w:type="spellStart"/>
      <w:r w:rsidRPr="007C25D5">
        <w:rPr>
          <w:rFonts w:asciiTheme="majorHAnsi" w:eastAsia="PT Sans" w:hAnsiTheme="majorHAnsi" w:cstheme="majorHAnsi"/>
          <w:color w:val="434343"/>
          <w:lang w:val="en-CA"/>
        </w:rPr>
        <w:t>Gluud</w:t>
      </w:r>
      <w:proofErr w:type="spellEnd"/>
      <w:r w:rsidRPr="007C25D5">
        <w:rPr>
          <w:rFonts w:asciiTheme="majorHAnsi" w:eastAsia="PT Sans" w:hAnsiTheme="majorHAnsi" w:cstheme="majorHAnsi"/>
          <w:color w:val="434343"/>
          <w:lang w:val="en-CA"/>
        </w:rPr>
        <w:t xml:space="preserve"> LL, Klingenberg SL, </w:t>
      </w:r>
      <w:proofErr w:type="spellStart"/>
      <w:r w:rsidRPr="007C25D5">
        <w:rPr>
          <w:rFonts w:asciiTheme="majorHAnsi" w:eastAsia="PT Sans" w:hAnsiTheme="majorHAnsi" w:cstheme="majorHAnsi"/>
          <w:color w:val="434343"/>
          <w:lang w:val="en-CA"/>
        </w:rPr>
        <w:t>Langholz</w:t>
      </w:r>
      <w:proofErr w:type="spellEnd"/>
      <w:r w:rsidRPr="007C25D5">
        <w:rPr>
          <w:rFonts w:asciiTheme="majorHAnsi" w:eastAsia="PT Sans" w:hAnsiTheme="majorHAnsi" w:cstheme="majorHAnsi"/>
          <w:color w:val="434343"/>
          <w:lang w:val="en-CA"/>
        </w:rPr>
        <w:t xml:space="preserve"> E. Tranexamic acid for upper gastrointestinal bleeding. </w:t>
      </w:r>
      <w:r w:rsidRPr="007C25D5">
        <w:rPr>
          <w:rFonts w:asciiTheme="majorHAnsi" w:eastAsia="PT Sans" w:hAnsiTheme="majorHAnsi" w:cstheme="majorHAnsi"/>
          <w:iCs/>
          <w:color w:val="434343"/>
          <w:lang w:val="en-CA"/>
        </w:rPr>
        <w:t xml:space="preserve">Cochrane Database Syst Rev </w:t>
      </w:r>
      <w:r w:rsidRPr="007C25D5">
        <w:rPr>
          <w:rFonts w:asciiTheme="majorHAnsi" w:eastAsia="PT Sans" w:hAnsiTheme="majorHAnsi" w:cstheme="majorHAnsi"/>
          <w:color w:val="434343"/>
          <w:lang w:val="en-CA"/>
        </w:rPr>
        <w:t xml:space="preserve">2012; </w:t>
      </w:r>
      <w:r w:rsidRPr="007C25D5">
        <w:rPr>
          <w:rFonts w:asciiTheme="majorHAnsi" w:eastAsia="PT Sans" w:hAnsiTheme="majorHAnsi" w:cstheme="majorHAnsi"/>
          <w:b/>
          <w:bCs/>
          <w:color w:val="434343"/>
          <w:lang w:val="en-CA"/>
        </w:rPr>
        <w:t xml:space="preserve">1: </w:t>
      </w:r>
      <w:r w:rsidRPr="007C25D5">
        <w:rPr>
          <w:rFonts w:asciiTheme="majorHAnsi" w:eastAsia="PT Sans" w:hAnsiTheme="majorHAnsi" w:cstheme="majorHAnsi"/>
          <w:color w:val="434343"/>
          <w:lang w:val="en-CA"/>
        </w:rPr>
        <w:t xml:space="preserve">CD006640. </w:t>
      </w:r>
      <w:r w:rsidRPr="007C25D5">
        <w:rPr>
          <w:rFonts w:asciiTheme="majorHAnsi" w:eastAsia="PT Sans" w:hAnsiTheme="majorHAnsi" w:cstheme="majorHAnsi"/>
          <w:color w:val="434343"/>
          <w:lang w:val="en-US"/>
        </w:rPr>
        <w:t>https://doi.org/10.1002/14651858.CD006640.pub3</w:t>
      </w:r>
    </w:p>
    <w:p w14:paraId="05CABEF5" w14:textId="65EFFF26" w:rsidR="007C25D5" w:rsidRPr="005B742F" w:rsidRDefault="007C25D5" w:rsidP="007C25D5">
      <w:pPr>
        <w:pStyle w:val="c-bibliographic-informationcitation"/>
        <w:numPr>
          <w:ilvl w:val="0"/>
          <w:numId w:val="1"/>
        </w:numPr>
        <w:shd w:val="clear" w:color="auto" w:fill="FFFFFF"/>
        <w:spacing w:before="0" w:beforeAutospacing="0" w:after="0" w:afterAutospacing="0"/>
        <w:rPr>
          <w:rFonts w:asciiTheme="majorHAnsi" w:hAnsiTheme="majorHAnsi" w:cstheme="majorHAnsi"/>
          <w:color w:val="333333"/>
          <w:sz w:val="22"/>
          <w:szCs w:val="22"/>
        </w:rPr>
      </w:pPr>
      <w:r w:rsidRPr="005B742F">
        <w:rPr>
          <w:rFonts w:asciiTheme="majorHAnsi" w:hAnsiTheme="majorHAnsi" w:cstheme="majorHAnsi"/>
          <w:color w:val="333333"/>
          <w:sz w:val="22"/>
          <w:szCs w:val="22"/>
        </w:rPr>
        <w:t xml:space="preserve">Brenner, A., </w:t>
      </w:r>
      <w:proofErr w:type="spellStart"/>
      <w:r w:rsidRPr="005B742F">
        <w:rPr>
          <w:rFonts w:asciiTheme="majorHAnsi" w:hAnsiTheme="majorHAnsi" w:cstheme="majorHAnsi"/>
          <w:color w:val="333333"/>
          <w:sz w:val="22"/>
          <w:szCs w:val="22"/>
        </w:rPr>
        <w:t>Arribas</w:t>
      </w:r>
      <w:proofErr w:type="spellEnd"/>
      <w:r w:rsidRPr="005B742F">
        <w:rPr>
          <w:rFonts w:asciiTheme="majorHAnsi" w:hAnsiTheme="majorHAnsi" w:cstheme="majorHAnsi"/>
          <w:color w:val="333333"/>
          <w:sz w:val="22"/>
          <w:szCs w:val="22"/>
        </w:rPr>
        <w:t xml:space="preserve">, M., </w:t>
      </w:r>
      <w:proofErr w:type="spellStart"/>
      <w:r w:rsidRPr="005B742F">
        <w:rPr>
          <w:rFonts w:asciiTheme="majorHAnsi" w:hAnsiTheme="majorHAnsi" w:cstheme="majorHAnsi"/>
          <w:color w:val="333333"/>
          <w:sz w:val="22"/>
          <w:szCs w:val="22"/>
        </w:rPr>
        <w:t>Cuzick</w:t>
      </w:r>
      <w:proofErr w:type="spellEnd"/>
      <w:r w:rsidRPr="005B742F">
        <w:rPr>
          <w:rFonts w:asciiTheme="majorHAnsi" w:hAnsiTheme="majorHAnsi" w:cstheme="majorHAnsi"/>
          <w:color w:val="333333"/>
          <w:sz w:val="22"/>
          <w:szCs w:val="22"/>
        </w:rPr>
        <w:t>, J. </w:t>
      </w:r>
      <w:r w:rsidRPr="005B742F">
        <w:rPr>
          <w:rFonts w:asciiTheme="majorHAnsi" w:hAnsiTheme="majorHAnsi" w:cstheme="majorHAnsi"/>
          <w:i/>
          <w:iCs/>
          <w:color w:val="333333"/>
          <w:sz w:val="22"/>
          <w:szCs w:val="22"/>
        </w:rPr>
        <w:t>et al.</w:t>
      </w:r>
      <w:r w:rsidRPr="005B742F">
        <w:rPr>
          <w:rFonts w:asciiTheme="majorHAnsi" w:hAnsiTheme="majorHAnsi" w:cstheme="majorHAnsi"/>
          <w:color w:val="333333"/>
          <w:sz w:val="22"/>
          <w:szCs w:val="22"/>
        </w:rPr>
        <w:t> Outcome measures in clinical trials of treatments for acute severe haemorrhage. </w:t>
      </w:r>
      <w:r w:rsidRPr="005B742F">
        <w:rPr>
          <w:rFonts w:asciiTheme="majorHAnsi" w:hAnsiTheme="majorHAnsi" w:cstheme="majorHAnsi"/>
          <w:i/>
          <w:iCs/>
          <w:color w:val="333333"/>
          <w:sz w:val="22"/>
          <w:szCs w:val="22"/>
        </w:rPr>
        <w:t>Trials</w:t>
      </w:r>
      <w:r w:rsidRPr="005B742F">
        <w:rPr>
          <w:rFonts w:asciiTheme="majorHAnsi" w:hAnsiTheme="majorHAnsi" w:cstheme="majorHAnsi"/>
          <w:color w:val="333333"/>
          <w:sz w:val="22"/>
          <w:szCs w:val="22"/>
        </w:rPr>
        <w:t> </w:t>
      </w:r>
      <w:r w:rsidRPr="005B742F">
        <w:rPr>
          <w:rFonts w:asciiTheme="majorHAnsi" w:hAnsiTheme="majorHAnsi" w:cstheme="majorHAnsi"/>
          <w:b/>
          <w:bCs/>
          <w:color w:val="333333"/>
          <w:sz w:val="22"/>
          <w:szCs w:val="22"/>
        </w:rPr>
        <w:t>19, </w:t>
      </w:r>
      <w:r w:rsidRPr="005B742F">
        <w:rPr>
          <w:rFonts w:asciiTheme="majorHAnsi" w:hAnsiTheme="majorHAnsi" w:cstheme="majorHAnsi"/>
          <w:color w:val="333333"/>
          <w:sz w:val="22"/>
          <w:szCs w:val="22"/>
        </w:rPr>
        <w:t>533 (2018). https://doi.org/10.1186/s13063-018-2900-4</w:t>
      </w:r>
    </w:p>
    <w:p w14:paraId="78A22DA0" w14:textId="77777777" w:rsidR="007C25D5" w:rsidRPr="007C25D5" w:rsidRDefault="007C25D5" w:rsidP="007C25D5">
      <w:pPr>
        <w:numPr>
          <w:ilvl w:val="0"/>
          <w:numId w:val="1"/>
        </w:numPr>
        <w:spacing w:after="0" w:line="240" w:lineRule="auto"/>
        <w:rPr>
          <w:rFonts w:asciiTheme="majorHAnsi" w:eastAsia="PT Sans" w:hAnsiTheme="majorHAnsi" w:cstheme="majorHAnsi"/>
          <w:color w:val="434343"/>
          <w:lang w:val="en-CA"/>
        </w:rPr>
      </w:pPr>
      <w:r w:rsidRPr="007C25D5">
        <w:rPr>
          <w:rFonts w:asciiTheme="majorHAnsi" w:eastAsia="PT Sans" w:hAnsiTheme="majorHAnsi" w:cstheme="majorHAnsi"/>
          <w:color w:val="434343"/>
          <w:lang w:val="en-CA"/>
        </w:rPr>
        <w:lastRenderedPageBreak/>
        <w:t xml:space="preserve">Brenner A, Afolabi A, Ahmad SM, et al. Tranexamic acid for acute gastrointestinal bleeding (the HALT-IT trial): statistical analysis plan for an international, randomised, double-blind, placebo-controlled trial. </w:t>
      </w:r>
      <w:r w:rsidRPr="007C25D5">
        <w:rPr>
          <w:rFonts w:asciiTheme="majorHAnsi" w:eastAsia="PT Sans" w:hAnsiTheme="majorHAnsi" w:cstheme="majorHAnsi"/>
          <w:i/>
          <w:iCs/>
          <w:color w:val="434343"/>
          <w:lang w:val="en-CA"/>
        </w:rPr>
        <w:t xml:space="preserve">Trials </w:t>
      </w:r>
      <w:r w:rsidRPr="007C25D5">
        <w:rPr>
          <w:rFonts w:asciiTheme="majorHAnsi" w:eastAsia="PT Sans" w:hAnsiTheme="majorHAnsi" w:cstheme="majorHAnsi"/>
          <w:color w:val="434343"/>
          <w:lang w:val="en-CA"/>
        </w:rPr>
        <w:t xml:space="preserve">2019; </w:t>
      </w:r>
      <w:r w:rsidRPr="007C25D5">
        <w:rPr>
          <w:rFonts w:asciiTheme="majorHAnsi" w:eastAsia="PT Sans" w:hAnsiTheme="majorHAnsi" w:cstheme="majorHAnsi"/>
          <w:b/>
          <w:bCs/>
          <w:color w:val="434343"/>
          <w:lang w:val="en-CA"/>
        </w:rPr>
        <w:t xml:space="preserve">20: </w:t>
      </w:r>
      <w:r w:rsidRPr="007C25D5">
        <w:rPr>
          <w:rFonts w:asciiTheme="majorHAnsi" w:eastAsia="PT Sans" w:hAnsiTheme="majorHAnsi" w:cstheme="majorHAnsi"/>
          <w:color w:val="434343"/>
          <w:lang w:val="en-CA"/>
        </w:rPr>
        <w:t>467</w:t>
      </w:r>
    </w:p>
    <w:p w14:paraId="40F4F49A" w14:textId="77777777" w:rsidR="007C25D5" w:rsidRPr="007C25D5" w:rsidRDefault="007C25D5" w:rsidP="007C25D5">
      <w:pPr>
        <w:spacing w:after="0" w:line="240" w:lineRule="auto"/>
        <w:ind w:left="720"/>
        <w:rPr>
          <w:rFonts w:ascii="PT Sans" w:eastAsia="PT Sans" w:hAnsi="PT Sans" w:cs="PT Sans"/>
          <w:color w:val="434343"/>
          <w:lang w:val="en-CA"/>
        </w:rPr>
      </w:pPr>
    </w:p>
    <w:p w14:paraId="2E1FFD93" w14:textId="3001C53D" w:rsidR="00672AB5" w:rsidRDefault="00672AB5" w:rsidP="007C25D5">
      <w:pPr>
        <w:spacing w:after="0" w:line="240" w:lineRule="auto"/>
        <w:rPr>
          <w:rFonts w:ascii="PT Sans" w:eastAsia="PT Sans" w:hAnsi="PT Sans" w:cs="PT Sans"/>
          <w:color w:val="434343"/>
        </w:rPr>
      </w:pPr>
    </w:p>
    <w:p w14:paraId="14980C58" w14:textId="431C311E" w:rsidR="00B9578D" w:rsidRDefault="00B9578D">
      <w:pPr>
        <w:spacing w:after="120" w:line="240" w:lineRule="auto"/>
        <w:rPr>
          <w:rFonts w:ascii="PT Sans" w:eastAsia="PT Sans" w:hAnsi="PT Sans" w:cs="PT Sans"/>
          <w:color w:val="434343"/>
        </w:rPr>
      </w:pPr>
    </w:p>
    <w:sectPr w:rsidR="00B9578D">
      <w:foot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C39C" w14:textId="77777777" w:rsidR="000E5317" w:rsidRDefault="000E5317">
      <w:pPr>
        <w:spacing w:after="0" w:line="240" w:lineRule="auto"/>
      </w:pPr>
      <w:r>
        <w:separator/>
      </w:r>
    </w:p>
  </w:endnote>
  <w:endnote w:type="continuationSeparator" w:id="0">
    <w:p w14:paraId="468ABD3B" w14:textId="77777777" w:rsidR="000E5317" w:rsidRDefault="000E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B1CD" w14:textId="77777777" w:rsidR="00927260" w:rsidRDefault="000E531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6E682A">
      <w:rPr>
        <w:color w:val="000000"/>
      </w:rPr>
      <w:fldChar w:fldCharType="separate"/>
    </w:r>
    <w:r w:rsidR="006E682A">
      <w:rPr>
        <w:noProof/>
        <w:color w:val="000000"/>
      </w:rPr>
      <w:t>1</w:t>
    </w:r>
    <w:r>
      <w:rPr>
        <w:color w:val="000000"/>
      </w:rPr>
      <w:fldChar w:fldCharType="end"/>
    </w:r>
  </w:p>
  <w:p w14:paraId="14F900E2" w14:textId="77777777" w:rsidR="00927260" w:rsidRDefault="00927260">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1A77" w14:textId="77777777" w:rsidR="000E5317" w:rsidRDefault="000E5317">
      <w:pPr>
        <w:spacing w:after="0" w:line="240" w:lineRule="auto"/>
      </w:pPr>
      <w:r>
        <w:separator/>
      </w:r>
    </w:p>
  </w:footnote>
  <w:footnote w:type="continuationSeparator" w:id="0">
    <w:p w14:paraId="003CF551" w14:textId="77777777" w:rsidR="000E5317" w:rsidRDefault="000E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664BD"/>
    <w:multiLevelType w:val="hybridMultilevel"/>
    <w:tmpl w:val="DDC425D4"/>
    <w:lvl w:ilvl="0" w:tplc="B674FF68">
      <w:start w:val="1"/>
      <w:numFmt w:val="decimal"/>
      <w:lvlText w:val="%1."/>
      <w:lvlJc w:val="left"/>
      <w:pPr>
        <w:tabs>
          <w:tab w:val="num" w:pos="720"/>
        </w:tabs>
        <w:ind w:left="720" w:hanging="360"/>
      </w:pPr>
    </w:lvl>
    <w:lvl w:ilvl="1" w:tplc="C4EAE328" w:tentative="1">
      <w:start w:val="1"/>
      <w:numFmt w:val="decimal"/>
      <w:lvlText w:val="%2."/>
      <w:lvlJc w:val="left"/>
      <w:pPr>
        <w:tabs>
          <w:tab w:val="num" w:pos="1440"/>
        </w:tabs>
        <w:ind w:left="1440" w:hanging="360"/>
      </w:pPr>
    </w:lvl>
    <w:lvl w:ilvl="2" w:tplc="14207BEE" w:tentative="1">
      <w:start w:val="1"/>
      <w:numFmt w:val="decimal"/>
      <w:lvlText w:val="%3."/>
      <w:lvlJc w:val="left"/>
      <w:pPr>
        <w:tabs>
          <w:tab w:val="num" w:pos="2160"/>
        </w:tabs>
        <w:ind w:left="2160" w:hanging="360"/>
      </w:pPr>
    </w:lvl>
    <w:lvl w:ilvl="3" w:tplc="E27EBB52" w:tentative="1">
      <w:start w:val="1"/>
      <w:numFmt w:val="decimal"/>
      <w:lvlText w:val="%4."/>
      <w:lvlJc w:val="left"/>
      <w:pPr>
        <w:tabs>
          <w:tab w:val="num" w:pos="2880"/>
        </w:tabs>
        <w:ind w:left="2880" w:hanging="360"/>
      </w:pPr>
    </w:lvl>
    <w:lvl w:ilvl="4" w:tplc="F1BC3AE4" w:tentative="1">
      <w:start w:val="1"/>
      <w:numFmt w:val="decimal"/>
      <w:lvlText w:val="%5."/>
      <w:lvlJc w:val="left"/>
      <w:pPr>
        <w:tabs>
          <w:tab w:val="num" w:pos="3600"/>
        </w:tabs>
        <w:ind w:left="3600" w:hanging="360"/>
      </w:pPr>
    </w:lvl>
    <w:lvl w:ilvl="5" w:tplc="CE9A76F4" w:tentative="1">
      <w:start w:val="1"/>
      <w:numFmt w:val="decimal"/>
      <w:lvlText w:val="%6."/>
      <w:lvlJc w:val="left"/>
      <w:pPr>
        <w:tabs>
          <w:tab w:val="num" w:pos="4320"/>
        </w:tabs>
        <w:ind w:left="4320" w:hanging="360"/>
      </w:pPr>
    </w:lvl>
    <w:lvl w:ilvl="6" w:tplc="E4509400" w:tentative="1">
      <w:start w:val="1"/>
      <w:numFmt w:val="decimal"/>
      <w:lvlText w:val="%7."/>
      <w:lvlJc w:val="left"/>
      <w:pPr>
        <w:tabs>
          <w:tab w:val="num" w:pos="5040"/>
        </w:tabs>
        <w:ind w:left="5040" w:hanging="360"/>
      </w:pPr>
    </w:lvl>
    <w:lvl w:ilvl="7" w:tplc="353A7FA4" w:tentative="1">
      <w:start w:val="1"/>
      <w:numFmt w:val="decimal"/>
      <w:lvlText w:val="%8."/>
      <w:lvlJc w:val="left"/>
      <w:pPr>
        <w:tabs>
          <w:tab w:val="num" w:pos="5760"/>
        </w:tabs>
        <w:ind w:left="5760" w:hanging="360"/>
      </w:pPr>
    </w:lvl>
    <w:lvl w:ilvl="8" w:tplc="2B04C252" w:tentative="1">
      <w:start w:val="1"/>
      <w:numFmt w:val="decimal"/>
      <w:lvlText w:val="%9."/>
      <w:lvlJc w:val="left"/>
      <w:pPr>
        <w:tabs>
          <w:tab w:val="num" w:pos="6480"/>
        </w:tabs>
        <w:ind w:left="6480" w:hanging="360"/>
      </w:pPr>
    </w:lvl>
  </w:abstractNum>
  <w:abstractNum w:abstractNumId="1" w15:restartNumberingAfterBreak="0">
    <w:nsid w:val="7C8F3D94"/>
    <w:multiLevelType w:val="hybridMultilevel"/>
    <w:tmpl w:val="0FC8ECFA"/>
    <w:lvl w:ilvl="0" w:tplc="F4A05794">
      <w:start w:val="1"/>
      <w:numFmt w:val="decimal"/>
      <w:lvlText w:val="%1."/>
      <w:lvlJc w:val="left"/>
      <w:pPr>
        <w:tabs>
          <w:tab w:val="num" w:pos="720"/>
        </w:tabs>
        <w:ind w:left="720" w:hanging="360"/>
      </w:pPr>
    </w:lvl>
    <w:lvl w:ilvl="1" w:tplc="3180834A" w:tentative="1">
      <w:start w:val="1"/>
      <w:numFmt w:val="decimal"/>
      <w:lvlText w:val="%2."/>
      <w:lvlJc w:val="left"/>
      <w:pPr>
        <w:tabs>
          <w:tab w:val="num" w:pos="1440"/>
        </w:tabs>
        <w:ind w:left="1440" w:hanging="360"/>
      </w:pPr>
    </w:lvl>
    <w:lvl w:ilvl="2" w:tplc="2528F378" w:tentative="1">
      <w:start w:val="1"/>
      <w:numFmt w:val="decimal"/>
      <w:lvlText w:val="%3."/>
      <w:lvlJc w:val="left"/>
      <w:pPr>
        <w:tabs>
          <w:tab w:val="num" w:pos="2160"/>
        </w:tabs>
        <w:ind w:left="2160" w:hanging="360"/>
      </w:pPr>
    </w:lvl>
    <w:lvl w:ilvl="3" w:tplc="F41EC218" w:tentative="1">
      <w:start w:val="1"/>
      <w:numFmt w:val="decimal"/>
      <w:lvlText w:val="%4."/>
      <w:lvlJc w:val="left"/>
      <w:pPr>
        <w:tabs>
          <w:tab w:val="num" w:pos="2880"/>
        </w:tabs>
        <w:ind w:left="2880" w:hanging="360"/>
      </w:pPr>
    </w:lvl>
    <w:lvl w:ilvl="4" w:tplc="CD249E12" w:tentative="1">
      <w:start w:val="1"/>
      <w:numFmt w:val="decimal"/>
      <w:lvlText w:val="%5."/>
      <w:lvlJc w:val="left"/>
      <w:pPr>
        <w:tabs>
          <w:tab w:val="num" w:pos="3600"/>
        </w:tabs>
        <w:ind w:left="3600" w:hanging="360"/>
      </w:pPr>
    </w:lvl>
    <w:lvl w:ilvl="5" w:tplc="A15A9448" w:tentative="1">
      <w:start w:val="1"/>
      <w:numFmt w:val="decimal"/>
      <w:lvlText w:val="%6."/>
      <w:lvlJc w:val="left"/>
      <w:pPr>
        <w:tabs>
          <w:tab w:val="num" w:pos="4320"/>
        </w:tabs>
        <w:ind w:left="4320" w:hanging="360"/>
      </w:pPr>
    </w:lvl>
    <w:lvl w:ilvl="6" w:tplc="FD043BAE" w:tentative="1">
      <w:start w:val="1"/>
      <w:numFmt w:val="decimal"/>
      <w:lvlText w:val="%7."/>
      <w:lvlJc w:val="left"/>
      <w:pPr>
        <w:tabs>
          <w:tab w:val="num" w:pos="5040"/>
        </w:tabs>
        <w:ind w:left="5040" w:hanging="360"/>
      </w:pPr>
    </w:lvl>
    <w:lvl w:ilvl="7" w:tplc="E30CE67A" w:tentative="1">
      <w:start w:val="1"/>
      <w:numFmt w:val="decimal"/>
      <w:lvlText w:val="%8."/>
      <w:lvlJc w:val="left"/>
      <w:pPr>
        <w:tabs>
          <w:tab w:val="num" w:pos="5760"/>
        </w:tabs>
        <w:ind w:left="5760" w:hanging="360"/>
      </w:pPr>
    </w:lvl>
    <w:lvl w:ilvl="8" w:tplc="568824B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60"/>
    <w:rsid w:val="000744C2"/>
    <w:rsid w:val="000E5317"/>
    <w:rsid w:val="001C07A7"/>
    <w:rsid w:val="00281494"/>
    <w:rsid w:val="003E4F49"/>
    <w:rsid w:val="00493204"/>
    <w:rsid w:val="004A1A41"/>
    <w:rsid w:val="004E3EA7"/>
    <w:rsid w:val="005B742F"/>
    <w:rsid w:val="00672AB5"/>
    <w:rsid w:val="006B378D"/>
    <w:rsid w:val="006E682A"/>
    <w:rsid w:val="006F2CC3"/>
    <w:rsid w:val="00783D23"/>
    <w:rsid w:val="007C25D5"/>
    <w:rsid w:val="007D0C47"/>
    <w:rsid w:val="00927260"/>
    <w:rsid w:val="00B0113B"/>
    <w:rsid w:val="00B618A2"/>
    <w:rsid w:val="00B9578D"/>
    <w:rsid w:val="00D84209"/>
    <w:rsid w:val="00FC6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0487"/>
  <w15:docId w15:val="{ABAE34A2-F832-4E48-8E4B-6CCAD22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C25D5"/>
    <w:pPr>
      <w:spacing w:after="0" w:line="240" w:lineRule="auto"/>
      <w:ind w:left="720"/>
      <w:contextualSpacing/>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7C25D5"/>
    <w:rPr>
      <w:color w:val="0000FF" w:themeColor="hyperlink"/>
      <w:u w:val="single"/>
    </w:rPr>
  </w:style>
  <w:style w:type="character" w:styleId="UnresolvedMention">
    <w:name w:val="Unresolved Mention"/>
    <w:basedOn w:val="DefaultParagraphFont"/>
    <w:uiPriority w:val="99"/>
    <w:semiHidden/>
    <w:unhideWhenUsed/>
    <w:rsid w:val="007C25D5"/>
    <w:rPr>
      <w:color w:val="605E5C"/>
      <w:shd w:val="clear" w:color="auto" w:fill="E1DFDD"/>
    </w:rPr>
  </w:style>
  <w:style w:type="paragraph" w:customStyle="1" w:styleId="c-bibliographic-informationcitation">
    <w:name w:val="c-bibliographic-information__citation"/>
    <w:basedOn w:val="Normal"/>
    <w:rsid w:val="007C25D5"/>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254481">
      <w:bodyDiv w:val="1"/>
      <w:marLeft w:val="0"/>
      <w:marRight w:val="0"/>
      <w:marTop w:val="0"/>
      <w:marBottom w:val="0"/>
      <w:divBdr>
        <w:top w:val="none" w:sz="0" w:space="0" w:color="auto"/>
        <w:left w:val="none" w:sz="0" w:space="0" w:color="auto"/>
        <w:bottom w:val="none" w:sz="0" w:space="0" w:color="auto"/>
        <w:right w:val="none" w:sz="0" w:space="0" w:color="auto"/>
      </w:divBdr>
    </w:div>
    <w:div w:id="1589341252">
      <w:bodyDiv w:val="1"/>
      <w:marLeft w:val="0"/>
      <w:marRight w:val="0"/>
      <w:marTop w:val="0"/>
      <w:marBottom w:val="0"/>
      <w:divBdr>
        <w:top w:val="none" w:sz="0" w:space="0" w:color="auto"/>
        <w:left w:val="none" w:sz="0" w:space="0" w:color="auto"/>
        <w:bottom w:val="none" w:sz="0" w:space="0" w:color="auto"/>
        <w:right w:val="none" w:sz="0" w:space="0" w:color="auto"/>
      </w:divBdr>
      <w:divsChild>
        <w:div w:id="568656421">
          <w:marLeft w:val="720"/>
          <w:marRight w:val="0"/>
          <w:marTop w:val="240"/>
          <w:marBottom w:val="0"/>
          <w:divBdr>
            <w:top w:val="none" w:sz="0" w:space="0" w:color="auto"/>
            <w:left w:val="none" w:sz="0" w:space="0" w:color="auto"/>
            <w:bottom w:val="none" w:sz="0" w:space="0" w:color="auto"/>
            <w:right w:val="none" w:sz="0" w:space="0" w:color="auto"/>
          </w:divBdr>
        </w:div>
      </w:divsChild>
    </w:div>
    <w:div w:id="2010323717">
      <w:bodyDiv w:val="1"/>
      <w:marLeft w:val="0"/>
      <w:marRight w:val="0"/>
      <w:marTop w:val="0"/>
      <w:marBottom w:val="0"/>
      <w:divBdr>
        <w:top w:val="none" w:sz="0" w:space="0" w:color="auto"/>
        <w:left w:val="none" w:sz="0" w:space="0" w:color="auto"/>
        <w:bottom w:val="none" w:sz="0" w:space="0" w:color="auto"/>
        <w:right w:val="none" w:sz="0" w:space="0" w:color="auto"/>
      </w:divBdr>
      <w:divsChild>
        <w:div w:id="522476737">
          <w:marLeft w:val="72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2169</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Bryce</cp:lastModifiedBy>
  <cp:revision>10</cp:revision>
  <dcterms:created xsi:type="dcterms:W3CDTF">2020-10-27T04:41:00Z</dcterms:created>
  <dcterms:modified xsi:type="dcterms:W3CDTF">2020-10-28T16:47:00Z</dcterms:modified>
</cp:coreProperties>
</file>