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8945" w14:textId="77777777" w:rsidR="00C131CD" w:rsidRPr="00C619C6" w:rsidRDefault="00C619C6" w:rsidP="00C619C6">
      <w:pPr>
        <w:jc w:val="center"/>
        <w:rPr>
          <w:sz w:val="32"/>
          <w:szCs w:val="32"/>
        </w:rPr>
      </w:pPr>
      <w:bookmarkStart w:id="0" w:name="_GoBack"/>
      <w:bookmarkEnd w:id="0"/>
      <w:r w:rsidRPr="00C619C6">
        <w:rPr>
          <w:sz w:val="32"/>
          <w:szCs w:val="32"/>
        </w:rPr>
        <w:t>ROTEM for Trauma</w:t>
      </w:r>
    </w:p>
    <w:p w14:paraId="06C1D7CA" w14:textId="77777777" w:rsidR="00C619C6" w:rsidRDefault="00C619C6" w:rsidP="00C619C6">
      <w:pPr>
        <w:jc w:val="center"/>
        <w:rPr>
          <w:sz w:val="28"/>
          <w:szCs w:val="28"/>
        </w:rPr>
      </w:pPr>
      <w:r w:rsidRPr="00C619C6">
        <w:rPr>
          <w:sz w:val="28"/>
          <w:szCs w:val="28"/>
        </w:rPr>
        <w:t>The Basics</w:t>
      </w:r>
    </w:p>
    <w:p w14:paraId="55800AF1" w14:textId="77777777" w:rsidR="00C619C6" w:rsidRDefault="00C619C6" w:rsidP="00C619C6">
      <w:pPr>
        <w:jc w:val="center"/>
        <w:rPr>
          <w:sz w:val="28"/>
          <w:szCs w:val="28"/>
        </w:rPr>
      </w:pPr>
    </w:p>
    <w:p w14:paraId="2C309FFC" w14:textId="77777777" w:rsidR="00C619C6" w:rsidRPr="00C619C6" w:rsidRDefault="00C619C6" w:rsidP="00C619C6">
      <w:pPr>
        <w:numPr>
          <w:ilvl w:val="0"/>
          <w:numId w:val="1"/>
        </w:numPr>
        <w:rPr>
          <w:sz w:val="28"/>
          <w:szCs w:val="28"/>
        </w:rPr>
      </w:pPr>
      <w:r w:rsidRPr="00C619C6">
        <w:rPr>
          <w:sz w:val="28"/>
          <w:szCs w:val="28"/>
          <w:lang w:val="en-US"/>
        </w:rPr>
        <w:t>Trauma-induced coagulopathies are a significant cause of mortality in trauma patients.</w:t>
      </w:r>
      <w:r>
        <w:rPr>
          <w:sz w:val="28"/>
          <w:szCs w:val="28"/>
          <w:lang w:val="en-US"/>
        </w:rPr>
        <w:t xml:space="preserve"> </w:t>
      </w:r>
      <w:r w:rsidRPr="00C619C6">
        <w:rPr>
          <w:sz w:val="28"/>
          <w:szCs w:val="28"/>
          <w:lang w:val="en-US"/>
        </w:rPr>
        <w:t>25-35% of severely injured trauma pt's have already developed a TIC prior to arriving in the ED which confers significant mortality</w:t>
      </w:r>
      <w:r>
        <w:rPr>
          <w:sz w:val="28"/>
          <w:szCs w:val="28"/>
          <w:lang w:val="en-US"/>
        </w:rPr>
        <w:t>.</w:t>
      </w:r>
    </w:p>
    <w:p w14:paraId="6076579E" w14:textId="77777777" w:rsidR="00C619C6" w:rsidRPr="00C619C6" w:rsidRDefault="00C619C6" w:rsidP="00C619C6">
      <w:pPr>
        <w:ind w:left="720"/>
        <w:rPr>
          <w:sz w:val="28"/>
          <w:szCs w:val="28"/>
        </w:rPr>
      </w:pPr>
    </w:p>
    <w:p w14:paraId="370C36C5" w14:textId="77777777" w:rsidR="00C619C6" w:rsidRPr="00C619C6" w:rsidRDefault="00C619C6" w:rsidP="00C619C6">
      <w:pPr>
        <w:numPr>
          <w:ilvl w:val="0"/>
          <w:numId w:val="1"/>
        </w:numPr>
        <w:rPr>
          <w:sz w:val="28"/>
          <w:szCs w:val="28"/>
        </w:rPr>
      </w:pPr>
      <w:r>
        <w:rPr>
          <w:sz w:val="28"/>
          <w:szCs w:val="28"/>
          <w:lang w:val="en-US"/>
        </w:rPr>
        <w:t>Standard lab tests were d</w:t>
      </w:r>
      <w:r w:rsidRPr="00C619C6">
        <w:rPr>
          <w:sz w:val="28"/>
          <w:szCs w:val="28"/>
          <w:lang w:val="en-US"/>
        </w:rPr>
        <w:t>eveloped for monitoring therapeutic anticoagulation, not expeditious identification of trauma-related coagulation defects.</w:t>
      </w:r>
      <w:r>
        <w:rPr>
          <w:sz w:val="28"/>
          <w:szCs w:val="28"/>
          <w:lang w:val="en-US"/>
        </w:rPr>
        <w:t xml:space="preserve"> </w:t>
      </w:r>
      <w:r w:rsidRPr="00C619C6">
        <w:rPr>
          <w:sz w:val="28"/>
          <w:szCs w:val="28"/>
          <w:lang w:val="en-US"/>
        </w:rPr>
        <w:t>They do not reflect clot quality or stability</w:t>
      </w:r>
      <w:r>
        <w:rPr>
          <w:sz w:val="28"/>
          <w:szCs w:val="28"/>
          <w:lang w:val="en-US"/>
        </w:rPr>
        <w:t xml:space="preserve"> and they </w:t>
      </w:r>
      <w:r w:rsidRPr="00C619C6">
        <w:rPr>
          <w:sz w:val="28"/>
          <w:szCs w:val="28"/>
          <w:lang w:val="en-US"/>
        </w:rPr>
        <w:t>cannot be used to monitor coagulopathy</w:t>
      </w:r>
    </w:p>
    <w:p w14:paraId="6A9DEC65" w14:textId="77777777" w:rsidR="00C619C6" w:rsidRPr="00C619C6" w:rsidRDefault="00C619C6" w:rsidP="00C619C6">
      <w:pPr>
        <w:ind w:left="720"/>
        <w:rPr>
          <w:sz w:val="28"/>
          <w:szCs w:val="28"/>
        </w:rPr>
      </w:pPr>
    </w:p>
    <w:p w14:paraId="4782CDCF" w14:textId="77777777" w:rsidR="00C619C6" w:rsidRPr="00C619C6" w:rsidRDefault="00C619C6" w:rsidP="00C619C6">
      <w:pPr>
        <w:numPr>
          <w:ilvl w:val="0"/>
          <w:numId w:val="1"/>
        </w:numPr>
        <w:rPr>
          <w:sz w:val="28"/>
          <w:szCs w:val="28"/>
        </w:rPr>
      </w:pPr>
      <w:r w:rsidRPr="00C619C6">
        <w:rPr>
          <w:sz w:val="28"/>
          <w:szCs w:val="28"/>
          <w:lang w:val="en-US"/>
        </w:rPr>
        <w:t>ROTEM is a Viscoelastic Hemostatic Assay which measures the global properties of whole-blood clot formation in real time.</w:t>
      </w:r>
      <w:r>
        <w:rPr>
          <w:sz w:val="28"/>
          <w:szCs w:val="28"/>
        </w:rPr>
        <w:t xml:space="preserve"> It is a rapid point-of-care test that</w:t>
      </w:r>
      <w:r>
        <w:rPr>
          <w:sz w:val="28"/>
          <w:szCs w:val="28"/>
          <w:lang w:val="en-US"/>
        </w:rPr>
        <w:t xml:space="preserve"> </w:t>
      </w:r>
      <w:r w:rsidRPr="00C619C6">
        <w:rPr>
          <w:sz w:val="28"/>
          <w:szCs w:val="28"/>
          <w:lang w:val="en-US"/>
        </w:rPr>
        <w:t>allows for dynamic monitoring and guides focused treatments.</w:t>
      </w:r>
    </w:p>
    <w:p w14:paraId="001E665B" w14:textId="77777777" w:rsidR="00C619C6" w:rsidRPr="00C619C6" w:rsidRDefault="00C619C6" w:rsidP="00C619C6">
      <w:pPr>
        <w:rPr>
          <w:sz w:val="28"/>
          <w:szCs w:val="28"/>
        </w:rPr>
      </w:pPr>
    </w:p>
    <w:p w14:paraId="2949509B" w14:textId="77777777" w:rsidR="00C619C6" w:rsidRPr="00C619C6" w:rsidRDefault="00C619C6" w:rsidP="00C619C6">
      <w:pPr>
        <w:numPr>
          <w:ilvl w:val="0"/>
          <w:numId w:val="1"/>
        </w:numPr>
        <w:rPr>
          <w:sz w:val="28"/>
          <w:szCs w:val="28"/>
        </w:rPr>
      </w:pPr>
      <w:r w:rsidRPr="00C619C6">
        <w:rPr>
          <w:noProof/>
          <w:sz w:val="28"/>
          <w:szCs w:val="28"/>
        </w:rPr>
        <w:drawing>
          <wp:anchor distT="0" distB="0" distL="114300" distR="114300" simplePos="0" relativeHeight="251658240" behindDoc="1" locked="0" layoutInCell="1" allowOverlap="1" wp14:anchorId="01DB801E" wp14:editId="5CCEB226">
            <wp:simplePos x="0" y="0"/>
            <wp:positionH relativeFrom="column">
              <wp:posOffset>2713355</wp:posOffset>
            </wp:positionH>
            <wp:positionV relativeFrom="paragraph">
              <wp:posOffset>380365</wp:posOffset>
            </wp:positionV>
            <wp:extent cx="3610610" cy="2628900"/>
            <wp:effectExtent l="0" t="0" r="0" b="0"/>
            <wp:wrapTight wrapText="bothSides">
              <wp:wrapPolygon edited="0">
                <wp:start x="0" y="0"/>
                <wp:lineTo x="0" y="21496"/>
                <wp:lineTo x="21501" y="21496"/>
                <wp:lineTo x="21501" y="0"/>
                <wp:lineTo x="0" y="0"/>
              </wp:wrapPolygon>
            </wp:wrapTight>
            <wp:docPr id="19" name="Picture 19" descr="Diagram&#10;&#10;Description automatically generated">
              <a:extLst xmlns:a="http://schemas.openxmlformats.org/drawingml/2006/main">
                <a:ext uri="{FF2B5EF4-FFF2-40B4-BE49-F238E27FC236}">
                  <a16:creationId xmlns:a16="http://schemas.microsoft.com/office/drawing/2014/main" id="{D2B86FA1-4702-4254-8680-134C95EC9D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a:extLst>
                        <a:ext uri="{FF2B5EF4-FFF2-40B4-BE49-F238E27FC236}">
                          <a16:creationId xmlns:a16="http://schemas.microsoft.com/office/drawing/2014/main" id="{D2B86FA1-4702-4254-8680-134C95EC9D3F}"/>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610610" cy="2628900"/>
                    </a:xfrm>
                    <a:prstGeom prst="rect">
                      <a:avLst/>
                    </a:prstGeom>
                  </pic:spPr>
                </pic:pic>
              </a:graphicData>
            </a:graphic>
            <wp14:sizeRelH relativeFrom="page">
              <wp14:pctWidth>0</wp14:pctWidth>
            </wp14:sizeRelH>
            <wp14:sizeRelV relativeFrom="page">
              <wp14:pctHeight>0</wp14:pctHeight>
            </wp14:sizeRelV>
          </wp:anchor>
        </w:drawing>
      </w:r>
      <w:r w:rsidRPr="00C619C6">
        <w:rPr>
          <w:sz w:val="28"/>
          <w:szCs w:val="28"/>
          <w:lang w:val="en-US"/>
        </w:rPr>
        <w:t>Interpreting ROTEM can be complicated but is made simpler by asking the three questions</w:t>
      </w:r>
    </w:p>
    <w:p w14:paraId="7CA60FD7" w14:textId="77777777" w:rsidR="00C619C6" w:rsidRPr="00C619C6" w:rsidRDefault="00C619C6" w:rsidP="00C619C6">
      <w:pPr>
        <w:numPr>
          <w:ilvl w:val="1"/>
          <w:numId w:val="1"/>
        </w:numPr>
        <w:rPr>
          <w:sz w:val="28"/>
          <w:szCs w:val="28"/>
        </w:rPr>
      </w:pPr>
      <w:r w:rsidRPr="00C619C6">
        <w:rPr>
          <w:sz w:val="28"/>
          <w:szCs w:val="28"/>
          <w:lang w:val="en-US"/>
        </w:rPr>
        <w:t>How fast?</w:t>
      </w:r>
    </w:p>
    <w:p w14:paraId="09BAA8EA" w14:textId="77777777" w:rsidR="00C619C6" w:rsidRPr="00C619C6" w:rsidRDefault="00C619C6" w:rsidP="00C619C6">
      <w:pPr>
        <w:numPr>
          <w:ilvl w:val="1"/>
          <w:numId w:val="1"/>
        </w:numPr>
        <w:rPr>
          <w:sz w:val="28"/>
          <w:szCs w:val="28"/>
        </w:rPr>
      </w:pPr>
      <w:r w:rsidRPr="00C619C6">
        <w:rPr>
          <w:sz w:val="28"/>
          <w:szCs w:val="28"/>
          <w:lang w:val="en-US"/>
        </w:rPr>
        <w:t>How strong?</w:t>
      </w:r>
      <w:r>
        <w:rPr>
          <w:sz w:val="28"/>
          <w:szCs w:val="28"/>
          <w:lang w:val="en-US"/>
        </w:rPr>
        <w:t xml:space="preserve"> </w:t>
      </w:r>
    </w:p>
    <w:p w14:paraId="58EECB95" w14:textId="77777777" w:rsidR="00C619C6" w:rsidRPr="00C619C6" w:rsidRDefault="00C619C6" w:rsidP="00C619C6">
      <w:pPr>
        <w:numPr>
          <w:ilvl w:val="1"/>
          <w:numId w:val="1"/>
        </w:numPr>
        <w:rPr>
          <w:sz w:val="28"/>
          <w:szCs w:val="28"/>
        </w:rPr>
      </w:pPr>
      <w:r w:rsidRPr="00C619C6">
        <w:rPr>
          <w:noProof/>
          <w:sz w:val="28"/>
          <w:szCs w:val="28"/>
        </w:rPr>
        <w:drawing>
          <wp:anchor distT="0" distB="0" distL="114300" distR="114300" simplePos="0" relativeHeight="251659264" behindDoc="1" locked="0" layoutInCell="1" allowOverlap="1" wp14:anchorId="00953EF1" wp14:editId="789C5394">
            <wp:simplePos x="0" y="0"/>
            <wp:positionH relativeFrom="column">
              <wp:posOffset>28575</wp:posOffset>
            </wp:positionH>
            <wp:positionV relativeFrom="paragraph">
              <wp:posOffset>301625</wp:posOffset>
            </wp:positionV>
            <wp:extent cx="2648585" cy="1953895"/>
            <wp:effectExtent l="0" t="0" r="5715" b="1905"/>
            <wp:wrapTight wrapText="bothSides">
              <wp:wrapPolygon edited="0">
                <wp:start x="0" y="0"/>
                <wp:lineTo x="0" y="21481"/>
                <wp:lineTo x="21543" y="21481"/>
                <wp:lineTo x="21543" y="0"/>
                <wp:lineTo x="0" y="0"/>
              </wp:wrapPolygon>
            </wp:wrapTight>
            <wp:docPr id="4" name="Picture 4" descr="A picture containing diagram&#10;&#10;Description automatically generated">
              <a:extLst xmlns:a="http://schemas.openxmlformats.org/drawingml/2006/main">
                <a:ext uri="{FF2B5EF4-FFF2-40B4-BE49-F238E27FC236}">
                  <a16:creationId xmlns:a16="http://schemas.microsoft.com/office/drawing/2014/main" id="{88AAC62E-998B-45A9-8E71-5748B673C2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a:extLst>
                        <a:ext uri="{FF2B5EF4-FFF2-40B4-BE49-F238E27FC236}">
                          <a16:creationId xmlns:a16="http://schemas.microsoft.com/office/drawing/2014/main" id="{88AAC62E-998B-45A9-8E71-5748B673C20F}"/>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48585" cy="1953895"/>
                    </a:xfrm>
                    <a:prstGeom prst="rect">
                      <a:avLst/>
                    </a:prstGeom>
                  </pic:spPr>
                </pic:pic>
              </a:graphicData>
            </a:graphic>
            <wp14:sizeRelH relativeFrom="page">
              <wp14:pctWidth>0</wp14:pctWidth>
            </wp14:sizeRelH>
            <wp14:sizeRelV relativeFrom="page">
              <wp14:pctHeight>0</wp14:pctHeight>
            </wp14:sizeRelV>
          </wp:anchor>
        </w:drawing>
      </w:r>
      <w:r w:rsidRPr="00C619C6">
        <w:rPr>
          <w:sz w:val="28"/>
          <w:szCs w:val="28"/>
          <w:lang w:val="en-US"/>
        </w:rPr>
        <w:t>How long?</w:t>
      </w:r>
      <w:r w:rsidRPr="00C619C6">
        <w:rPr>
          <w:sz w:val="28"/>
          <w:szCs w:val="28"/>
        </w:rPr>
        <w:t xml:space="preserve"> </w:t>
      </w:r>
    </w:p>
    <w:p w14:paraId="5C050445" w14:textId="77777777" w:rsidR="00C619C6" w:rsidRDefault="00C619C6" w:rsidP="00C619C6">
      <w:pPr>
        <w:ind w:left="720"/>
        <w:rPr>
          <w:sz w:val="28"/>
          <w:szCs w:val="28"/>
        </w:rPr>
      </w:pPr>
    </w:p>
    <w:p w14:paraId="4781AF8C" w14:textId="77777777" w:rsidR="00C619C6" w:rsidRDefault="00C619C6" w:rsidP="00C619C6">
      <w:pPr>
        <w:ind w:left="720"/>
        <w:rPr>
          <w:sz w:val="28"/>
          <w:szCs w:val="28"/>
        </w:rPr>
      </w:pPr>
    </w:p>
    <w:p w14:paraId="55385796" w14:textId="77777777" w:rsidR="00C619C6" w:rsidRPr="00C619C6" w:rsidRDefault="00C619C6" w:rsidP="00C619C6">
      <w:pPr>
        <w:pStyle w:val="ListParagraph"/>
        <w:numPr>
          <w:ilvl w:val="0"/>
          <w:numId w:val="8"/>
        </w:numPr>
        <w:rPr>
          <w:sz w:val="28"/>
          <w:szCs w:val="28"/>
        </w:rPr>
      </w:pPr>
      <w:r w:rsidRPr="00C619C6">
        <w:rPr>
          <w:sz w:val="28"/>
          <w:szCs w:val="28"/>
        </w:rPr>
        <w:t xml:space="preserve">Although evidence for </w:t>
      </w:r>
      <w:r w:rsidRPr="00C619C6">
        <w:rPr>
          <w:rFonts w:eastAsiaTheme="minorEastAsia"/>
          <w:sz w:val="28"/>
          <w:szCs w:val="28"/>
        </w:rPr>
        <w:t>There is growing evidence that application of ROTEM‐guided transfusion strategies may reduce the need for blood products and improve morbidity in patients with bleeding.</w:t>
      </w:r>
    </w:p>
    <w:p w14:paraId="6D850B80" w14:textId="77777777" w:rsidR="00C619C6" w:rsidRDefault="00C619C6" w:rsidP="00C619C6">
      <w:pPr>
        <w:jc w:val="center"/>
        <w:rPr>
          <w:sz w:val="32"/>
          <w:szCs w:val="32"/>
        </w:rPr>
      </w:pPr>
      <w:r w:rsidRPr="00C619C6">
        <w:rPr>
          <w:sz w:val="32"/>
          <w:szCs w:val="32"/>
        </w:rPr>
        <w:lastRenderedPageBreak/>
        <w:t>References</w:t>
      </w:r>
    </w:p>
    <w:p w14:paraId="241730ED" w14:textId="77777777" w:rsidR="00C619C6" w:rsidRDefault="00C619C6" w:rsidP="00C619C6">
      <w:pPr>
        <w:jc w:val="center"/>
        <w:rPr>
          <w:sz w:val="32"/>
          <w:szCs w:val="32"/>
        </w:rPr>
      </w:pPr>
    </w:p>
    <w:p w14:paraId="28BCBEA7" w14:textId="77777777" w:rsidR="00C619C6" w:rsidRPr="00C619C6" w:rsidRDefault="00C619C6" w:rsidP="00C619C6">
      <w:pPr>
        <w:numPr>
          <w:ilvl w:val="0"/>
          <w:numId w:val="7"/>
        </w:numPr>
        <w:rPr>
          <w:sz w:val="28"/>
          <w:szCs w:val="28"/>
        </w:rPr>
      </w:pPr>
      <w:r w:rsidRPr="00C619C6">
        <w:rPr>
          <w:sz w:val="28"/>
          <w:szCs w:val="28"/>
          <w:lang w:val="en-US"/>
        </w:rPr>
        <w:t>Brohi K, Singh J, Heron M, Coats T. Acute Traumatic Coagulopathy. </w:t>
      </w:r>
      <w:r w:rsidRPr="00C619C6">
        <w:rPr>
          <w:i/>
          <w:iCs/>
          <w:sz w:val="28"/>
          <w:szCs w:val="28"/>
          <w:lang w:val="en-US"/>
        </w:rPr>
        <w:t>J Trauma</w:t>
      </w:r>
      <w:r w:rsidRPr="00C619C6">
        <w:rPr>
          <w:sz w:val="28"/>
          <w:szCs w:val="28"/>
          <w:lang w:val="en-US"/>
        </w:rPr>
        <w:t> 2003; 54: 1127-30. </w:t>
      </w:r>
      <w:hyperlink r:id="rId7" w:history="1">
        <w:r w:rsidRPr="00C619C6">
          <w:rPr>
            <w:rStyle w:val="Hyperlink"/>
            <w:sz w:val="28"/>
            <w:szCs w:val="28"/>
            <w:lang w:val="en-US"/>
          </w:rPr>
          <w:t>https://www.ncbi.nlm.nih.gov/pubmed/12813333</w:t>
        </w:r>
      </w:hyperlink>
    </w:p>
    <w:p w14:paraId="6BEADC3D" w14:textId="77777777" w:rsidR="00C619C6" w:rsidRPr="00C619C6" w:rsidRDefault="00B209E1" w:rsidP="00C619C6">
      <w:pPr>
        <w:numPr>
          <w:ilvl w:val="0"/>
          <w:numId w:val="7"/>
        </w:numPr>
        <w:rPr>
          <w:sz w:val="28"/>
          <w:szCs w:val="28"/>
        </w:rPr>
      </w:pPr>
      <w:hyperlink r:id="rId8" w:history="1">
        <w:r w:rsidR="00C619C6" w:rsidRPr="00C619C6">
          <w:rPr>
            <w:rStyle w:val="Hyperlink"/>
            <w:sz w:val="28"/>
            <w:szCs w:val="28"/>
            <w:lang w:val="en-US"/>
          </w:rPr>
          <w:t>https://emottawablog.com/2020/09/rotem-in-trauma-blood-is-thicker-with-wine-part-1-the-evidence</w:t>
        </w:r>
      </w:hyperlink>
      <w:hyperlink r:id="rId9" w:history="1">
        <w:r w:rsidR="00C619C6" w:rsidRPr="00C619C6">
          <w:rPr>
            <w:rStyle w:val="Hyperlink"/>
            <w:sz w:val="28"/>
            <w:szCs w:val="28"/>
            <w:lang w:val="en-US"/>
          </w:rPr>
          <w:t>/</w:t>
        </w:r>
      </w:hyperlink>
    </w:p>
    <w:p w14:paraId="2C100C9E" w14:textId="77777777" w:rsidR="00C619C6" w:rsidRPr="00C619C6" w:rsidRDefault="00C619C6" w:rsidP="00C619C6">
      <w:pPr>
        <w:numPr>
          <w:ilvl w:val="0"/>
          <w:numId w:val="7"/>
        </w:numPr>
        <w:rPr>
          <w:sz w:val="28"/>
          <w:szCs w:val="28"/>
        </w:rPr>
      </w:pPr>
      <w:r w:rsidRPr="00C619C6">
        <w:rPr>
          <w:sz w:val="28"/>
          <w:szCs w:val="28"/>
          <w:u w:val="single"/>
          <w:lang w:val="en-US"/>
        </w:rPr>
        <w:t>https://emottawablog.com/2020/09/rotem-in-trauma-blood-is-thicker-with-wine-part-2/</w:t>
      </w:r>
    </w:p>
    <w:p w14:paraId="7EC0D7FF" w14:textId="77777777" w:rsidR="00C619C6" w:rsidRPr="00C619C6" w:rsidRDefault="00C619C6" w:rsidP="00C619C6">
      <w:pPr>
        <w:numPr>
          <w:ilvl w:val="0"/>
          <w:numId w:val="7"/>
        </w:numPr>
        <w:rPr>
          <w:sz w:val="28"/>
          <w:szCs w:val="28"/>
        </w:rPr>
      </w:pPr>
      <w:r w:rsidRPr="00C619C6">
        <w:rPr>
          <w:sz w:val="28"/>
          <w:szCs w:val="28"/>
          <w:lang w:val="en-US"/>
        </w:rPr>
        <w:t>SaraÃ§oÄlu A, Yarat A, Tetik S. The role of viscoelastic tests in trauma: TEG and ROTEM. J Pharmacol Med Chem 2017;1(1):1-5. </w:t>
      </w:r>
      <w:r w:rsidRPr="00C619C6">
        <w:rPr>
          <w:sz w:val="28"/>
          <w:szCs w:val="28"/>
          <w:u w:val="single"/>
          <w:lang w:val="en-US"/>
        </w:rPr>
        <w:t>https://www.pulsus.com/scholarly-articles/the-role-of-viscoelastic-tests-in-trauma-teg-and-rotem-3563.html</w:t>
      </w:r>
    </w:p>
    <w:p w14:paraId="472B403B" w14:textId="77777777" w:rsidR="00C619C6" w:rsidRPr="00C619C6" w:rsidRDefault="00C619C6" w:rsidP="00C619C6">
      <w:pPr>
        <w:numPr>
          <w:ilvl w:val="0"/>
          <w:numId w:val="7"/>
        </w:numPr>
        <w:rPr>
          <w:sz w:val="28"/>
          <w:szCs w:val="28"/>
        </w:rPr>
      </w:pPr>
      <w:r w:rsidRPr="00C619C6">
        <w:rPr>
          <w:sz w:val="28"/>
          <w:szCs w:val="28"/>
        </w:rPr>
        <w:t>Prat NJ, Meyer AD, Ingalls NK, Trichereau J, DuBose JJ, Cap AP. Rotational thromboelastometry significantly optimizes transfusion practices for damage control resuscitation in combat casualties. J Trauma Acute Care Surg. 2017 Sep;83(3):373-380. doi: 10.1097/TA.0000000000001568. PMID: 28846577; PMCID: PMC7350930.</w:t>
      </w:r>
    </w:p>
    <w:p w14:paraId="614BF52B" w14:textId="77777777" w:rsidR="00C619C6" w:rsidRPr="00C619C6" w:rsidRDefault="00C619C6" w:rsidP="00C619C6">
      <w:pPr>
        <w:numPr>
          <w:ilvl w:val="0"/>
          <w:numId w:val="7"/>
        </w:numPr>
        <w:rPr>
          <w:sz w:val="28"/>
          <w:szCs w:val="28"/>
        </w:rPr>
      </w:pPr>
      <w:r w:rsidRPr="00C619C6">
        <w:rPr>
          <w:sz w:val="28"/>
          <w:szCs w:val="28"/>
        </w:rPr>
        <w:t>Kauvar DS, Lefering R, Wade CE. Impact of Hemorrhage on Trauma Outcome: An Overview of Epidemiology, Clinical Presentations, and Therapeutic Considerations. </w:t>
      </w:r>
      <w:r w:rsidRPr="00C619C6">
        <w:rPr>
          <w:i/>
          <w:iCs/>
          <w:sz w:val="28"/>
          <w:szCs w:val="28"/>
        </w:rPr>
        <w:t>J Trauma</w:t>
      </w:r>
      <w:r w:rsidRPr="00C619C6">
        <w:rPr>
          <w:sz w:val="28"/>
          <w:szCs w:val="28"/>
        </w:rPr>
        <w:t xml:space="preserve"> 2006; 60: S3-11.  </w:t>
      </w:r>
      <w:hyperlink r:id="rId10" w:history="1">
        <w:r w:rsidRPr="00C619C6">
          <w:rPr>
            <w:rStyle w:val="Hyperlink"/>
            <w:sz w:val="28"/>
            <w:szCs w:val="28"/>
          </w:rPr>
          <w:t>https</w:t>
        </w:r>
      </w:hyperlink>
      <w:hyperlink r:id="rId11" w:history="1">
        <w:r w:rsidRPr="00C619C6">
          <w:rPr>
            <w:rStyle w:val="Hyperlink"/>
            <w:sz w:val="28"/>
            <w:szCs w:val="28"/>
          </w:rPr>
          <w:t>://www.ncbi.nlm.nih.gov/pubmed/</w:t>
        </w:r>
      </w:hyperlink>
      <w:hyperlink r:id="rId12" w:history="1">
        <w:r w:rsidRPr="00C619C6">
          <w:rPr>
            <w:rStyle w:val="Hyperlink"/>
            <w:sz w:val="28"/>
            <w:szCs w:val="28"/>
          </w:rPr>
          <w:t>16763478</w:t>
        </w:r>
      </w:hyperlink>
      <w:r w:rsidRPr="00C619C6">
        <w:rPr>
          <w:sz w:val="28"/>
          <w:szCs w:val="28"/>
        </w:rPr>
        <w:t>.</w:t>
      </w:r>
    </w:p>
    <w:p w14:paraId="3A095561" w14:textId="77777777" w:rsidR="00C619C6" w:rsidRPr="00C619C6" w:rsidRDefault="00B209E1" w:rsidP="00C619C6">
      <w:pPr>
        <w:numPr>
          <w:ilvl w:val="0"/>
          <w:numId w:val="7"/>
        </w:numPr>
        <w:rPr>
          <w:sz w:val="28"/>
          <w:szCs w:val="28"/>
        </w:rPr>
      </w:pPr>
      <w:hyperlink r:id="rId13" w:history="1">
        <w:r w:rsidR="00C619C6" w:rsidRPr="00C619C6">
          <w:rPr>
            <w:rStyle w:val="Hyperlink"/>
            <w:sz w:val="28"/>
            <w:szCs w:val="28"/>
            <w:lang w:val="en-US"/>
          </w:rPr>
          <w:t>https://litfl.com/thromboelastogram-teg</w:t>
        </w:r>
      </w:hyperlink>
      <w:hyperlink r:id="rId14" w:history="1">
        <w:r w:rsidR="00C619C6" w:rsidRPr="00C619C6">
          <w:rPr>
            <w:rStyle w:val="Hyperlink"/>
            <w:sz w:val="28"/>
            <w:szCs w:val="28"/>
            <w:lang w:val="en-US"/>
          </w:rPr>
          <w:t>/</w:t>
        </w:r>
      </w:hyperlink>
    </w:p>
    <w:p w14:paraId="131D2D27" w14:textId="77777777" w:rsidR="00C619C6" w:rsidRPr="00C619C6" w:rsidRDefault="00B209E1" w:rsidP="00C619C6">
      <w:pPr>
        <w:numPr>
          <w:ilvl w:val="0"/>
          <w:numId w:val="7"/>
        </w:numPr>
        <w:rPr>
          <w:sz w:val="28"/>
          <w:szCs w:val="28"/>
        </w:rPr>
      </w:pPr>
      <w:hyperlink r:id="rId15" w:history="1">
        <w:r w:rsidR="00C619C6" w:rsidRPr="00C619C6">
          <w:rPr>
            <w:rStyle w:val="Hyperlink"/>
            <w:sz w:val="28"/>
            <w:szCs w:val="28"/>
            <w:lang w:val="en-US"/>
          </w:rPr>
          <w:t>https://www.emra.org/emresident/article/teg-and-rotem</w:t>
        </w:r>
      </w:hyperlink>
      <w:hyperlink r:id="rId16" w:history="1">
        <w:r w:rsidR="00C619C6" w:rsidRPr="00C619C6">
          <w:rPr>
            <w:rStyle w:val="Hyperlink"/>
            <w:sz w:val="28"/>
            <w:szCs w:val="28"/>
            <w:lang w:val="en-US"/>
          </w:rPr>
          <w:t>/</w:t>
        </w:r>
      </w:hyperlink>
    </w:p>
    <w:p w14:paraId="6159EC82" w14:textId="77777777" w:rsidR="00C619C6" w:rsidRPr="00C619C6" w:rsidRDefault="00C619C6" w:rsidP="00C619C6">
      <w:pPr>
        <w:numPr>
          <w:ilvl w:val="0"/>
          <w:numId w:val="7"/>
        </w:numPr>
        <w:rPr>
          <w:sz w:val="28"/>
          <w:szCs w:val="28"/>
        </w:rPr>
      </w:pPr>
      <w:r w:rsidRPr="00C619C6">
        <w:rPr>
          <w:sz w:val="28"/>
          <w:szCs w:val="28"/>
        </w:rPr>
        <w:t>Wikkelsø  A, Wetterslev  J, Møller  AM, Afshari  A. Thromboelastography (TEG) or thromboelastometry (ROTEM) to monitor haemostatic treatment versus usual care in adults or children with bleeding. Cochrane Database of Systematic Reviews 2016, Issue 8. Art. No.: CD007871. DOI: 10.1002/14651858.CD007871.pub3.</w:t>
      </w:r>
    </w:p>
    <w:p w14:paraId="51D33209" w14:textId="77777777" w:rsidR="00C619C6" w:rsidRPr="00C619C6" w:rsidRDefault="00C619C6" w:rsidP="00C619C6">
      <w:pPr>
        <w:numPr>
          <w:ilvl w:val="0"/>
          <w:numId w:val="7"/>
        </w:numPr>
        <w:rPr>
          <w:sz w:val="28"/>
          <w:szCs w:val="28"/>
        </w:rPr>
      </w:pPr>
      <w:r w:rsidRPr="00C619C6">
        <w:rPr>
          <w:sz w:val="28"/>
          <w:szCs w:val="28"/>
          <w:u w:val="single"/>
          <w:lang w:val="en-US"/>
        </w:rPr>
        <w:t>https://www.rotem.de/en/methodology/rotem-delta-and-sigma-analysis/</w:t>
      </w:r>
    </w:p>
    <w:p w14:paraId="2E3351F2" w14:textId="77777777" w:rsidR="00C619C6" w:rsidRPr="00C619C6" w:rsidRDefault="00C619C6" w:rsidP="00C619C6">
      <w:pPr>
        <w:rPr>
          <w:sz w:val="32"/>
          <w:szCs w:val="32"/>
        </w:rPr>
      </w:pPr>
    </w:p>
    <w:sectPr w:rsidR="00C619C6" w:rsidRPr="00C619C6" w:rsidSect="00344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3AD"/>
    <w:multiLevelType w:val="hybridMultilevel"/>
    <w:tmpl w:val="676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E049B"/>
    <w:multiLevelType w:val="hybridMultilevel"/>
    <w:tmpl w:val="A960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71C5"/>
    <w:multiLevelType w:val="hybridMultilevel"/>
    <w:tmpl w:val="DD92C8DA"/>
    <w:lvl w:ilvl="0" w:tplc="D44C09F0">
      <w:start w:val="1"/>
      <w:numFmt w:val="bullet"/>
      <w:lvlText w:val="•"/>
      <w:lvlJc w:val="left"/>
      <w:pPr>
        <w:tabs>
          <w:tab w:val="num" w:pos="720"/>
        </w:tabs>
        <w:ind w:left="720" w:hanging="360"/>
      </w:pPr>
      <w:rPr>
        <w:rFonts w:ascii="Arial" w:hAnsi="Arial" w:hint="default"/>
      </w:rPr>
    </w:lvl>
    <w:lvl w:ilvl="1" w:tplc="7BBC7610">
      <w:numFmt w:val="bullet"/>
      <w:lvlText w:val="•"/>
      <w:lvlJc w:val="left"/>
      <w:pPr>
        <w:tabs>
          <w:tab w:val="num" w:pos="1440"/>
        </w:tabs>
        <w:ind w:left="1440" w:hanging="360"/>
      </w:pPr>
      <w:rPr>
        <w:rFonts w:ascii="Arial" w:hAnsi="Arial" w:hint="default"/>
      </w:rPr>
    </w:lvl>
    <w:lvl w:ilvl="2" w:tplc="BCA6D84E" w:tentative="1">
      <w:start w:val="1"/>
      <w:numFmt w:val="bullet"/>
      <w:lvlText w:val="•"/>
      <w:lvlJc w:val="left"/>
      <w:pPr>
        <w:tabs>
          <w:tab w:val="num" w:pos="2160"/>
        </w:tabs>
        <w:ind w:left="2160" w:hanging="360"/>
      </w:pPr>
      <w:rPr>
        <w:rFonts w:ascii="Arial" w:hAnsi="Arial" w:hint="default"/>
      </w:rPr>
    </w:lvl>
    <w:lvl w:ilvl="3" w:tplc="D22A491C" w:tentative="1">
      <w:start w:val="1"/>
      <w:numFmt w:val="bullet"/>
      <w:lvlText w:val="•"/>
      <w:lvlJc w:val="left"/>
      <w:pPr>
        <w:tabs>
          <w:tab w:val="num" w:pos="2880"/>
        </w:tabs>
        <w:ind w:left="2880" w:hanging="360"/>
      </w:pPr>
      <w:rPr>
        <w:rFonts w:ascii="Arial" w:hAnsi="Arial" w:hint="default"/>
      </w:rPr>
    </w:lvl>
    <w:lvl w:ilvl="4" w:tplc="09544080" w:tentative="1">
      <w:start w:val="1"/>
      <w:numFmt w:val="bullet"/>
      <w:lvlText w:val="•"/>
      <w:lvlJc w:val="left"/>
      <w:pPr>
        <w:tabs>
          <w:tab w:val="num" w:pos="3600"/>
        </w:tabs>
        <w:ind w:left="3600" w:hanging="360"/>
      </w:pPr>
      <w:rPr>
        <w:rFonts w:ascii="Arial" w:hAnsi="Arial" w:hint="default"/>
      </w:rPr>
    </w:lvl>
    <w:lvl w:ilvl="5" w:tplc="C20E2942" w:tentative="1">
      <w:start w:val="1"/>
      <w:numFmt w:val="bullet"/>
      <w:lvlText w:val="•"/>
      <w:lvlJc w:val="left"/>
      <w:pPr>
        <w:tabs>
          <w:tab w:val="num" w:pos="4320"/>
        </w:tabs>
        <w:ind w:left="4320" w:hanging="360"/>
      </w:pPr>
      <w:rPr>
        <w:rFonts w:ascii="Arial" w:hAnsi="Arial" w:hint="default"/>
      </w:rPr>
    </w:lvl>
    <w:lvl w:ilvl="6" w:tplc="517ECD54" w:tentative="1">
      <w:start w:val="1"/>
      <w:numFmt w:val="bullet"/>
      <w:lvlText w:val="•"/>
      <w:lvlJc w:val="left"/>
      <w:pPr>
        <w:tabs>
          <w:tab w:val="num" w:pos="5040"/>
        </w:tabs>
        <w:ind w:left="5040" w:hanging="360"/>
      </w:pPr>
      <w:rPr>
        <w:rFonts w:ascii="Arial" w:hAnsi="Arial" w:hint="default"/>
      </w:rPr>
    </w:lvl>
    <w:lvl w:ilvl="7" w:tplc="858CBEE0" w:tentative="1">
      <w:start w:val="1"/>
      <w:numFmt w:val="bullet"/>
      <w:lvlText w:val="•"/>
      <w:lvlJc w:val="left"/>
      <w:pPr>
        <w:tabs>
          <w:tab w:val="num" w:pos="5760"/>
        </w:tabs>
        <w:ind w:left="5760" w:hanging="360"/>
      </w:pPr>
      <w:rPr>
        <w:rFonts w:ascii="Arial" w:hAnsi="Arial" w:hint="default"/>
      </w:rPr>
    </w:lvl>
    <w:lvl w:ilvl="8" w:tplc="44387C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EA059D"/>
    <w:multiLevelType w:val="hybridMultilevel"/>
    <w:tmpl w:val="1DE65D9A"/>
    <w:lvl w:ilvl="0" w:tplc="368030E8">
      <w:start w:val="1"/>
      <w:numFmt w:val="bullet"/>
      <w:lvlText w:val="•"/>
      <w:lvlJc w:val="left"/>
      <w:pPr>
        <w:tabs>
          <w:tab w:val="num" w:pos="720"/>
        </w:tabs>
        <w:ind w:left="720" w:hanging="360"/>
      </w:pPr>
      <w:rPr>
        <w:rFonts w:ascii="Arial" w:hAnsi="Arial" w:hint="default"/>
      </w:rPr>
    </w:lvl>
    <w:lvl w:ilvl="1" w:tplc="B76EA276" w:tentative="1">
      <w:start w:val="1"/>
      <w:numFmt w:val="bullet"/>
      <w:lvlText w:val="•"/>
      <w:lvlJc w:val="left"/>
      <w:pPr>
        <w:tabs>
          <w:tab w:val="num" w:pos="1440"/>
        </w:tabs>
        <w:ind w:left="1440" w:hanging="360"/>
      </w:pPr>
      <w:rPr>
        <w:rFonts w:ascii="Arial" w:hAnsi="Arial" w:hint="default"/>
      </w:rPr>
    </w:lvl>
    <w:lvl w:ilvl="2" w:tplc="08505904" w:tentative="1">
      <w:start w:val="1"/>
      <w:numFmt w:val="bullet"/>
      <w:lvlText w:val="•"/>
      <w:lvlJc w:val="left"/>
      <w:pPr>
        <w:tabs>
          <w:tab w:val="num" w:pos="2160"/>
        </w:tabs>
        <w:ind w:left="2160" w:hanging="360"/>
      </w:pPr>
      <w:rPr>
        <w:rFonts w:ascii="Arial" w:hAnsi="Arial" w:hint="default"/>
      </w:rPr>
    </w:lvl>
    <w:lvl w:ilvl="3" w:tplc="77349606" w:tentative="1">
      <w:start w:val="1"/>
      <w:numFmt w:val="bullet"/>
      <w:lvlText w:val="•"/>
      <w:lvlJc w:val="left"/>
      <w:pPr>
        <w:tabs>
          <w:tab w:val="num" w:pos="2880"/>
        </w:tabs>
        <w:ind w:left="2880" w:hanging="360"/>
      </w:pPr>
      <w:rPr>
        <w:rFonts w:ascii="Arial" w:hAnsi="Arial" w:hint="default"/>
      </w:rPr>
    </w:lvl>
    <w:lvl w:ilvl="4" w:tplc="0FE4F824" w:tentative="1">
      <w:start w:val="1"/>
      <w:numFmt w:val="bullet"/>
      <w:lvlText w:val="•"/>
      <w:lvlJc w:val="left"/>
      <w:pPr>
        <w:tabs>
          <w:tab w:val="num" w:pos="3600"/>
        </w:tabs>
        <w:ind w:left="3600" w:hanging="360"/>
      </w:pPr>
      <w:rPr>
        <w:rFonts w:ascii="Arial" w:hAnsi="Arial" w:hint="default"/>
      </w:rPr>
    </w:lvl>
    <w:lvl w:ilvl="5" w:tplc="32E4A7D2" w:tentative="1">
      <w:start w:val="1"/>
      <w:numFmt w:val="bullet"/>
      <w:lvlText w:val="•"/>
      <w:lvlJc w:val="left"/>
      <w:pPr>
        <w:tabs>
          <w:tab w:val="num" w:pos="4320"/>
        </w:tabs>
        <w:ind w:left="4320" w:hanging="360"/>
      </w:pPr>
      <w:rPr>
        <w:rFonts w:ascii="Arial" w:hAnsi="Arial" w:hint="default"/>
      </w:rPr>
    </w:lvl>
    <w:lvl w:ilvl="6" w:tplc="9BF69326" w:tentative="1">
      <w:start w:val="1"/>
      <w:numFmt w:val="bullet"/>
      <w:lvlText w:val="•"/>
      <w:lvlJc w:val="left"/>
      <w:pPr>
        <w:tabs>
          <w:tab w:val="num" w:pos="5040"/>
        </w:tabs>
        <w:ind w:left="5040" w:hanging="360"/>
      </w:pPr>
      <w:rPr>
        <w:rFonts w:ascii="Arial" w:hAnsi="Arial" w:hint="default"/>
      </w:rPr>
    </w:lvl>
    <w:lvl w:ilvl="7" w:tplc="A9F0D66C" w:tentative="1">
      <w:start w:val="1"/>
      <w:numFmt w:val="bullet"/>
      <w:lvlText w:val="•"/>
      <w:lvlJc w:val="left"/>
      <w:pPr>
        <w:tabs>
          <w:tab w:val="num" w:pos="5760"/>
        </w:tabs>
        <w:ind w:left="5760" w:hanging="360"/>
      </w:pPr>
      <w:rPr>
        <w:rFonts w:ascii="Arial" w:hAnsi="Arial" w:hint="default"/>
      </w:rPr>
    </w:lvl>
    <w:lvl w:ilvl="8" w:tplc="8F52E8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EE0670"/>
    <w:multiLevelType w:val="hybridMultilevel"/>
    <w:tmpl w:val="5DCCDAD0"/>
    <w:lvl w:ilvl="0" w:tplc="1BFE3774">
      <w:start w:val="1"/>
      <w:numFmt w:val="bullet"/>
      <w:lvlText w:val="•"/>
      <w:lvlJc w:val="left"/>
      <w:pPr>
        <w:tabs>
          <w:tab w:val="num" w:pos="720"/>
        </w:tabs>
        <w:ind w:left="720" w:hanging="360"/>
      </w:pPr>
      <w:rPr>
        <w:rFonts w:ascii="Arial" w:hAnsi="Arial" w:hint="default"/>
      </w:rPr>
    </w:lvl>
    <w:lvl w:ilvl="1" w:tplc="AE5C9270" w:tentative="1">
      <w:start w:val="1"/>
      <w:numFmt w:val="bullet"/>
      <w:lvlText w:val="•"/>
      <w:lvlJc w:val="left"/>
      <w:pPr>
        <w:tabs>
          <w:tab w:val="num" w:pos="1440"/>
        </w:tabs>
        <w:ind w:left="1440" w:hanging="360"/>
      </w:pPr>
      <w:rPr>
        <w:rFonts w:ascii="Arial" w:hAnsi="Arial" w:hint="default"/>
      </w:rPr>
    </w:lvl>
    <w:lvl w:ilvl="2" w:tplc="6638F510" w:tentative="1">
      <w:start w:val="1"/>
      <w:numFmt w:val="bullet"/>
      <w:lvlText w:val="•"/>
      <w:lvlJc w:val="left"/>
      <w:pPr>
        <w:tabs>
          <w:tab w:val="num" w:pos="2160"/>
        </w:tabs>
        <w:ind w:left="2160" w:hanging="360"/>
      </w:pPr>
      <w:rPr>
        <w:rFonts w:ascii="Arial" w:hAnsi="Arial" w:hint="default"/>
      </w:rPr>
    </w:lvl>
    <w:lvl w:ilvl="3" w:tplc="F03E1C32" w:tentative="1">
      <w:start w:val="1"/>
      <w:numFmt w:val="bullet"/>
      <w:lvlText w:val="•"/>
      <w:lvlJc w:val="left"/>
      <w:pPr>
        <w:tabs>
          <w:tab w:val="num" w:pos="2880"/>
        </w:tabs>
        <w:ind w:left="2880" w:hanging="360"/>
      </w:pPr>
      <w:rPr>
        <w:rFonts w:ascii="Arial" w:hAnsi="Arial" w:hint="default"/>
      </w:rPr>
    </w:lvl>
    <w:lvl w:ilvl="4" w:tplc="21AAF2DA" w:tentative="1">
      <w:start w:val="1"/>
      <w:numFmt w:val="bullet"/>
      <w:lvlText w:val="•"/>
      <w:lvlJc w:val="left"/>
      <w:pPr>
        <w:tabs>
          <w:tab w:val="num" w:pos="3600"/>
        </w:tabs>
        <w:ind w:left="3600" w:hanging="360"/>
      </w:pPr>
      <w:rPr>
        <w:rFonts w:ascii="Arial" w:hAnsi="Arial" w:hint="default"/>
      </w:rPr>
    </w:lvl>
    <w:lvl w:ilvl="5" w:tplc="29C6E748" w:tentative="1">
      <w:start w:val="1"/>
      <w:numFmt w:val="bullet"/>
      <w:lvlText w:val="•"/>
      <w:lvlJc w:val="left"/>
      <w:pPr>
        <w:tabs>
          <w:tab w:val="num" w:pos="4320"/>
        </w:tabs>
        <w:ind w:left="4320" w:hanging="360"/>
      </w:pPr>
      <w:rPr>
        <w:rFonts w:ascii="Arial" w:hAnsi="Arial" w:hint="default"/>
      </w:rPr>
    </w:lvl>
    <w:lvl w:ilvl="6" w:tplc="6BDAEB5C" w:tentative="1">
      <w:start w:val="1"/>
      <w:numFmt w:val="bullet"/>
      <w:lvlText w:val="•"/>
      <w:lvlJc w:val="left"/>
      <w:pPr>
        <w:tabs>
          <w:tab w:val="num" w:pos="5040"/>
        </w:tabs>
        <w:ind w:left="5040" w:hanging="360"/>
      </w:pPr>
      <w:rPr>
        <w:rFonts w:ascii="Arial" w:hAnsi="Arial" w:hint="default"/>
      </w:rPr>
    </w:lvl>
    <w:lvl w:ilvl="7" w:tplc="B5AE7AC6" w:tentative="1">
      <w:start w:val="1"/>
      <w:numFmt w:val="bullet"/>
      <w:lvlText w:val="•"/>
      <w:lvlJc w:val="left"/>
      <w:pPr>
        <w:tabs>
          <w:tab w:val="num" w:pos="5760"/>
        </w:tabs>
        <w:ind w:left="5760" w:hanging="360"/>
      </w:pPr>
      <w:rPr>
        <w:rFonts w:ascii="Arial" w:hAnsi="Arial" w:hint="default"/>
      </w:rPr>
    </w:lvl>
    <w:lvl w:ilvl="8" w:tplc="811C9F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6B02A9"/>
    <w:multiLevelType w:val="hybridMultilevel"/>
    <w:tmpl w:val="53265AAC"/>
    <w:lvl w:ilvl="0" w:tplc="F90E29D4">
      <w:start w:val="1"/>
      <w:numFmt w:val="decimal"/>
      <w:lvlText w:val="%1."/>
      <w:lvlJc w:val="left"/>
      <w:pPr>
        <w:tabs>
          <w:tab w:val="num" w:pos="720"/>
        </w:tabs>
        <w:ind w:left="720" w:hanging="360"/>
      </w:pPr>
    </w:lvl>
    <w:lvl w:ilvl="1" w:tplc="FDF42BD6" w:tentative="1">
      <w:start w:val="1"/>
      <w:numFmt w:val="decimal"/>
      <w:lvlText w:val="%2."/>
      <w:lvlJc w:val="left"/>
      <w:pPr>
        <w:tabs>
          <w:tab w:val="num" w:pos="1440"/>
        </w:tabs>
        <w:ind w:left="1440" w:hanging="360"/>
      </w:pPr>
    </w:lvl>
    <w:lvl w:ilvl="2" w:tplc="F9A6E03A" w:tentative="1">
      <w:start w:val="1"/>
      <w:numFmt w:val="decimal"/>
      <w:lvlText w:val="%3."/>
      <w:lvlJc w:val="left"/>
      <w:pPr>
        <w:tabs>
          <w:tab w:val="num" w:pos="2160"/>
        </w:tabs>
        <w:ind w:left="2160" w:hanging="360"/>
      </w:pPr>
    </w:lvl>
    <w:lvl w:ilvl="3" w:tplc="CC30FF6E" w:tentative="1">
      <w:start w:val="1"/>
      <w:numFmt w:val="decimal"/>
      <w:lvlText w:val="%4."/>
      <w:lvlJc w:val="left"/>
      <w:pPr>
        <w:tabs>
          <w:tab w:val="num" w:pos="2880"/>
        </w:tabs>
        <w:ind w:left="2880" w:hanging="360"/>
      </w:pPr>
    </w:lvl>
    <w:lvl w:ilvl="4" w:tplc="A410A322" w:tentative="1">
      <w:start w:val="1"/>
      <w:numFmt w:val="decimal"/>
      <w:lvlText w:val="%5."/>
      <w:lvlJc w:val="left"/>
      <w:pPr>
        <w:tabs>
          <w:tab w:val="num" w:pos="3600"/>
        </w:tabs>
        <w:ind w:left="3600" w:hanging="360"/>
      </w:pPr>
    </w:lvl>
    <w:lvl w:ilvl="5" w:tplc="C91A75DC" w:tentative="1">
      <w:start w:val="1"/>
      <w:numFmt w:val="decimal"/>
      <w:lvlText w:val="%6."/>
      <w:lvlJc w:val="left"/>
      <w:pPr>
        <w:tabs>
          <w:tab w:val="num" w:pos="4320"/>
        </w:tabs>
        <w:ind w:left="4320" w:hanging="360"/>
      </w:pPr>
    </w:lvl>
    <w:lvl w:ilvl="6" w:tplc="F5FED8EE" w:tentative="1">
      <w:start w:val="1"/>
      <w:numFmt w:val="decimal"/>
      <w:lvlText w:val="%7."/>
      <w:lvlJc w:val="left"/>
      <w:pPr>
        <w:tabs>
          <w:tab w:val="num" w:pos="5040"/>
        </w:tabs>
        <w:ind w:left="5040" w:hanging="360"/>
      </w:pPr>
    </w:lvl>
    <w:lvl w:ilvl="7" w:tplc="E080141C" w:tentative="1">
      <w:start w:val="1"/>
      <w:numFmt w:val="decimal"/>
      <w:lvlText w:val="%8."/>
      <w:lvlJc w:val="left"/>
      <w:pPr>
        <w:tabs>
          <w:tab w:val="num" w:pos="5760"/>
        </w:tabs>
        <w:ind w:left="5760" w:hanging="360"/>
      </w:pPr>
    </w:lvl>
    <w:lvl w:ilvl="8" w:tplc="D316B214" w:tentative="1">
      <w:start w:val="1"/>
      <w:numFmt w:val="decimal"/>
      <w:lvlText w:val="%9."/>
      <w:lvlJc w:val="left"/>
      <w:pPr>
        <w:tabs>
          <w:tab w:val="num" w:pos="6480"/>
        </w:tabs>
        <w:ind w:left="6480" w:hanging="360"/>
      </w:pPr>
    </w:lvl>
  </w:abstractNum>
  <w:abstractNum w:abstractNumId="6" w15:restartNumberingAfterBreak="0">
    <w:nsid w:val="6D4F3163"/>
    <w:multiLevelType w:val="hybridMultilevel"/>
    <w:tmpl w:val="AD6C7C4A"/>
    <w:lvl w:ilvl="0" w:tplc="CA443F74">
      <w:start w:val="1"/>
      <w:numFmt w:val="bullet"/>
      <w:lvlText w:val="•"/>
      <w:lvlJc w:val="left"/>
      <w:pPr>
        <w:tabs>
          <w:tab w:val="num" w:pos="720"/>
        </w:tabs>
        <w:ind w:left="720" w:hanging="360"/>
      </w:pPr>
      <w:rPr>
        <w:rFonts w:ascii="Arial" w:hAnsi="Arial" w:hint="default"/>
      </w:rPr>
    </w:lvl>
    <w:lvl w:ilvl="1" w:tplc="B5AC08F6" w:tentative="1">
      <w:start w:val="1"/>
      <w:numFmt w:val="bullet"/>
      <w:lvlText w:val="•"/>
      <w:lvlJc w:val="left"/>
      <w:pPr>
        <w:tabs>
          <w:tab w:val="num" w:pos="1440"/>
        </w:tabs>
        <w:ind w:left="1440" w:hanging="360"/>
      </w:pPr>
      <w:rPr>
        <w:rFonts w:ascii="Arial" w:hAnsi="Arial" w:hint="default"/>
      </w:rPr>
    </w:lvl>
    <w:lvl w:ilvl="2" w:tplc="31088CB2" w:tentative="1">
      <w:start w:val="1"/>
      <w:numFmt w:val="bullet"/>
      <w:lvlText w:val="•"/>
      <w:lvlJc w:val="left"/>
      <w:pPr>
        <w:tabs>
          <w:tab w:val="num" w:pos="2160"/>
        </w:tabs>
        <w:ind w:left="2160" w:hanging="360"/>
      </w:pPr>
      <w:rPr>
        <w:rFonts w:ascii="Arial" w:hAnsi="Arial" w:hint="default"/>
      </w:rPr>
    </w:lvl>
    <w:lvl w:ilvl="3" w:tplc="30FC7EB2" w:tentative="1">
      <w:start w:val="1"/>
      <w:numFmt w:val="bullet"/>
      <w:lvlText w:val="•"/>
      <w:lvlJc w:val="left"/>
      <w:pPr>
        <w:tabs>
          <w:tab w:val="num" w:pos="2880"/>
        </w:tabs>
        <w:ind w:left="2880" w:hanging="360"/>
      </w:pPr>
      <w:rPr>
        <w:rFonts w:ascii="Arial" w:hAnsi="Arial" w:hint="default"/>
      </w:rPr>
    </w:lvl>
    <w:lvl w:ilvl="4" w:tplc="FC364F0A" w:tentative="1">
      <w:start w:val="1"/>
      <w:numFmt w:val="bullet"/>
      <w:lvlText w:val="•"/>
      <w:lvlJc w:val="left"/>
      <w:pPr>
        <w:tabs>
          <w:tab w:val="num" w:pos="3600"/>
        </w:tabs>
        <w:ind w:left="3600" w:hanging="360"/>
      </w:pPr>
      <w:rPr>
        <w:rFonts w:ascii="Arial" w:hAnsi="Arial" w:hint="default"/>
      </w:rPr>
    </w:lvl>
    <w:lvl w:ilvl="5" w:tplc="84F07444" w:tentative="1">
      <w:start w:val="1"/>
      <w:numFmt w:val="bullet"/>
      <w:lvlText w:val="•"/>
      <w:lvlJc w:val="left"/>
      <w:pPr>
        <w:tabs>
          <w:tab w:val="num" w:pos="4320"/>
        </w:tabs>
        <w:ind w:left="4320" w:hanging="360"/>
      </w:pPr>
      <w:rPr>
        <w:rFonts w:ascii="Arial" w:hAnsi="Arial" w:hint="default"/>
      </w:rPr>
    </w:lvl>
    <w:lvl w:ilvl="6" w:tplc="F670D16A" w:tentative="1">
      <w:start w:val="1"/>
      <w:numFmt w:val="bullet"/>
      <w:lvlText w:val="•"/>
      <w:lvlJc w:val="left"/>
      <w:pPr>
        <w:tabs>
          <w:tab w:val="num" w:pos="5040"/>
        </w:tabs>
        <w:ind w:left="5040" w:hanging="360"/>
      </w:pPr>
      <w:rPr>
        <w:rFonts w:ascii="Arial" w:hAnsi="Arial" w:hint="default"/>
      </w:rPr>
    </w:lvl>
    <w:lvl w:ilvl="7" w:tplc="61CE8BEA" w:tentative="1">
      <w:start w:val="1"/>
      <w:numFmt w:val="bullet"/>
      <w:lvlText w:val="•"/>
      <w:lvlJc w:val="left"/>
      <w:pPr>
        <w:tabs>
          <w:tab w:val="num" w:pos="5760"/>
        </w:tabs>
        <w:ind w:left="5760" w:hanging="360"/>
      </w:pPr>
      <w:rPr>
        <w:rFonts w:ascii="Arial" w:hAnsi="Arial" w:hint="default"/>
      </w:rPr>
    </w:lvl>
    <w:lvl w:ilvl="8" w:tplc="06646E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8B693A"/>
    <w:multiLevelType w:val="hybridMultilevel"/>
    <w:tmpl w:val="5FFE27A2"/>
    <w:lvl w:ilvl="0" w:tplc="D7A6BA10">
      <w:start w:val="1"/>
      <w:numFmt w:val="bullet"/>
      <w:lvlText w:val="•"/>
      <w:lvlJc w:val="left"/>
      <w:pPr>
        <w:tabs>
          <w:tab w:val="num" w:pos="720"/>
        </w:tabs>
        <w:ind w:left="720" w:hanging="360"/>
      </w:pPr>
      <w:rPr>
        <w:rFonts w:ascii="Arial" w:hAnsi="Arial" w:hint="default"/>
      </w:rPr>
    </w:lvl>
    <w:lvl w:ilvl="1" w:tplc="6E24EBF8">
      <w:start w:val="1"/>
      <w:numFmt w:val="bullet"/>
      <w:lvlText w:val="•"/>
      <w:lvlJc w:val="left"/>
      <w:pPr>
        <w:tabs>
          <w:tab w:val="num" w:pos="1440"/>
        </w:tabs>
        <w:ind w:left="1440" w:hanging="360"/>
      </w:pPr>
      <w:rPr>
        <w:rFonts w:ascii="Arial" w:hAnsi="Arial" w:hint="default"/>
      </w:rPr>
    </w:lvl>
    <w:lvl w:ilvl="2" w:tplc="186AF24C" w:tentative="1">
      <w:start w:val="1"/>
      <w:numFmt w:val="bullet"/>
      <w:lvlText w:val="•"/>
      <w:lvlJc w:val="left"/>
      <w:pPr>
        <w:tabs>
          <w:tab w:val="num" w:pos="2160"/>
        </w:tabs>
        <w:ind w:left="2160" w:hanging="360"/>
      </w:pPr>
      <w:rPr>
        <w:rFonts w:ascii="Arial" w:hAnsi="Arial" w:hint="default"/>
      </w:rPr>
    </w:lvl>
    <w:lvl w:ilvl="3" w:tplc="091A7CF4" w:tentative="1">
      <w:start w:val="1"/>
      <w:numFmt w:val="bullet"/>
      <w:lvlText w:val="•"/>
      <w:lvlJc w:val="left"/>
      <w:pPr>
        <w:tabs>
          <w:tab w:val="num" w:pos="2880"/>
        </w:tabs>
        <w:ind w:left="2880" w:hanging="360"/>
      </w:pPr>
      <w:rPr>
        <w:rFonts w:ascii="Arial" w:hAnsi="Arial" w:hint="default"/>
      </w:rPr>
    </w:lvl>
    <w:lvl w:ilvl="4" w:tplc="2F2AD2DC" w:tentative="1">
      <w:start w:val="1"/>
      <w:numFmt w:val="bullet"/>
      <w:lvlText w:val="•"/>
      <w:lvlJc w:val="left"/>
      <w:pPr>
        <w:tabs>
          <w:tab w:val="num" w:pos="3600"/>
        </w:tabs>
        <w:ind w:left="3600" w:hanging="360"/>
      </w:pPr>
      <w:rPr>
        <w:rFonts w:ascii="Arial" w:hAnsi="Arial" w:hint="default"/>
      </w:rPr>
    </w:lvl>
    <w:lvl w:ilvl="5" w:tplc="DC4E2A3A" w:tentative="1">
      <w:start w:val="1"/>
      <w:numFmt w:val="bullet"/>
      <w:lvlText w:val="•"/>
      <w:lvlJc w:val="left"/>
      <w:pPr>
        <w:tabs>
          <w:tab w:val="num" w:pos="4320"/>
        </w:tabs>
        <w:ind w:left="4320" w:hanging="360"/>
      </w:pPr>
      <w:rPr>
        <w:rFonts w:ascii="Arial" w:hAnsi="Arial" w:hint="default"/>
      </w:rPr>
    </w:lvl>
    <w:lvl w:ilvl="6" w:tplc="806656BA" w:tentative="1">
      <w:start w:val="1"/>
      <w:numFmt w:val="bullet"/>
      <w:lvlText w:val="•"/>
      <w:lvlJc w:val="left"/>
      <w:pPr>
        <w:tabs>
          <w:tab w:val="num" w:pos="5040"/>
        </w:tabs>
        <w:ind w:left="5040" w:hanging="360"/>
      </w:pPr>
      <w:rPr>
        <w:rFonts w:ascii="Arial" w:hAnsi="Arial" w:hint="default"/>
      </w:rPr>
    </w:lvl>
    <w:lvl w:ilvl="7" w:tplc="991C498C" w:tentative="1">
      <w:start w:val="1"/>
      <w:numFmt w:val="bullet"/>
      <w:lvlText w:val="•"/>
      <w:lvlJc w:val="left"/>
      <w:pPr>
        <w:tabs>
          <w:tab w:val="num" w:pos="5760"/>
        </w:tabs>
        <w:ind w:left="5760" w:hanging="360"/>
      </w:pPr>
      <w:rPr>
        <w:rFonts w:ascii="Arial" w:hAnsi="Arial" w:hint="default"/>
      </w:rPr>
    </w:lvl>
    <w:lvl w:ilvl="8" w:tplc="02BAEBF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2"/>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C6"/>
    <w:rsid w:val="00344961"/>
    <w:rsid w:val="007E3C59"/>
    <w:rsid w:val="008B2487"/>
    <w:rsid w:val="00B209E1"/>
    <w:rsid w:val="00C619C6"/>
    <w:rsid w:val="00FD6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10F0"/>
  <w15:chartTrackingRefBased/>
  <w15:docId w15:val="{87201145-EAF1-4C45-8FCF-E65A53E9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9C6"/>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C619C6"/>
    <w:rPr>
      <w:color w:val="0563C1" w:themeColor="hyperlink"/>
      <w:u w:val="single"/>
    </w:rPr>
  </w:style>
  <w:style w:type="character" w:styleId="UnresolvedMention">
    <w:name w:val="Unresolved Mention"/>
    <w:basedOn w:val="DefaultParagraphFont"/>
    <w:uiPriority w:val="99"/>
    <w:semiHidden/>
    <w:unhideWhenUsed/>
    <w:rsid w:val="00C61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542040">
      <w:bodyDiv w:val="1"/>
      <w:marLeft w:val="0"/>
      <w:marRight w:val="0"/>
      <w:marTop w:val="0"/>
      <w:marBottom w:val="0"/>
      <w:divBdr>
        <w:top w:val="none" w:sz="0" w:space="0" w:color="auto"/>
        <w:left w:val="none" w:sz="0" w:space="0" w:color="auto"/>
        <w:bottom w:val="none" w:sz="0" w:space="0" w:color="auto"/>
        <w:right w:val="none" w:sz="0" w:space="0" w:color="auto"/>
      </w:divBdr>
      <w:divsChild>
        <w:div w:id="1583759931">
          <w:marLeft w:val="360"/>
          <w:marRight w:val="0"/>
          <w:marTop w:val="200"/>
          <w:marBottom w:val="0"/>
          <w:divBdr>
            <w:top w:val="none" w:sz="0" w:space="0" w:color="auto"/>
            <w:left w:val="none" w:sz="0" w:space="0" w:color="auto"/>
            <w:bottom w:val="none" w:sz="0" w:space="0" w:color="auto"/>
            <w:right w:val="none" w:sz="0" w:space="0" w:color="auto"/>
          </w:divBdr>
        </w:div>
        <w:div w:id="1910727595">
          <w:marLeft w:val="360"/>
          <w:marRight w:val="0"/>
          <w:marTop w:val="200"/>
          <w:marBottom w:val="0"/>
          <w:divBdr>
            <w:top w:val="none" w:sz="0" w:space="0" w:color="auto"/>
            <w:left w:val="none" w:sz="0" w:space="0" w:color="auto"/>
            <w:bottom w:val="none" w:sz="0" w:space="0" w:color="auto"/>
            <w:right w:val="none" w:sz="0" w:space="0" w:color="auto"/>
          </w:divBdr>
        </w:div>
        <w:div w:id="1752192554">
          <w:marLeft w:val="360"/>
          <w:marRight w:val="0"/>
          <w:marTop w:val="200"/>
          <w:marBottom w:val="0"/>
          <w:divBdr>
            <w:top w:val="none" w:sz="0" w:space="0" w:color="auto"/>
            <w:left w:val="none" w:sz="0" w:space="0" w:color="auto"/>
            <w:bottom w:val="none" w:sz="0" w:space="0" w:color="auto"/>
            <w:right w:val="none" w:sz="0" w:space="0" w:color="auto"/>
          </w:divBdr>
        </w:div>
        <w:div w:id="1071388949">
          <w:marLeft w:val="360"/>
          <w:marRight w:val="0"/>
          <w:marTop w:val="200"/>
          <w:marBottom w:val="0"/>
          <w:divBdr>
            <w:top w:val="none" w:sz="0" w:space="0" w:color="auto"/>
            <w:left w:val="none" w:sz="0" w:space="0" w:color="auto"/>
            <w:bottom w:val="none" w:sz="0" w:space="0" w:color="auto"/>
            <w:right w:val="none" w:sz="0" w:space="0" w:color="auto"/>
          </w:divBdr>
        </w:div>
        <w:div w:id="133524640">
          <w:marLeft w:val="360"/>
          <w:marRight w:val="0"/>
          <w:marTop w:val="200"/>
          <w:marBottom w:val="0"/>
          <w:divBdr>
            <w:top w:val="none" w:sz="0" w:space="0" w:color="auto"/>
            <w:left w:val="none" w:sz="0" w:space="0" w:color="auto"/>
            <w:bottom w:val="none" w:sz="0" w:space="0" w:color="auto"/>
            <w:right w:val="none" w:sz="0" w:space="0" w:color="auto"/>
          </w:divBdr>
        </w:div>
        <w:div w:id="1961454168">
          <w:marLeft w:val="360"/>
          <w:marRight w:val="0"/>
          <w:marTop w:val="200"/>
          <w:marBottom w:val="0"/>
          <w:divBdr>
            <w:top w:val="none" w:sz="0" w:space="0" w:color="auto"/>
            <w:left w:val="none" w:sz="0" w:space="0" w:color="auto"/>
            <w:bottom w:val="none" w:sz="0" w:space="0" w:color="auto"/>
            <w:right w:val="none" w:sz="0" w:space="0" w:color="auto"/>
          </w:divBdr>
        </w:div>
        <w:div w:id="2010058314">
          <w:marLeft w:val="360"/>
          <w:marRight w:val="0"/>
          <w:marTop w:val="200"/>
          <w:marBottom w:val="0"/>
          <w:divBdr>
            <w:top w:val="none" w:sz="0" w:space="0" w:color="auto"/>
            <w:left w:val="none" w:sz="0" w:space="0" w:color="auto"/>
            <w:bottom w:val="none" w:sz="0" w:space="0" w:color="auto"/>
            <w:right w:val="none" w:sz="0" w:space="0" w:color="auto"/>
          </w:divBdr>
        </w:div>
        <w:div w:id="1059325473">
          <w:marLeft w:val="360"/>
          <w:marRight w:val="0"/>
          <w:marTop w:val="200"/>
          <w:marBottom w:val="0"/>
          <w:divBdr>
            <w:top w:val="none" w:sz="0" w:space="0" w:color="auto"/>
            <w:left w:val="none" w:sz="0" w:space="0" w:color="auto"/>
            <w:bottom w:val="none" w:sz="0" w:space="0" w:color="auto"/>
            <w:right w:val="none" w:sz="0" w:space="0" w:color="auto"/>
          </w:divBdr>
        </w:div>
        <w:div w:id="1872760807">
          <w:marLeft w:val="360"/>
          <w:marRight w:val="0"/>
          <w:marTop w:val="200"/>
          <w:marBottom w:val="0"/>
          <w:divBdr>
            <w:top w:val="none" w:sz="0" w:space="0" w:color="auto"/>
            <w:left w:val="none" w:sz="0" w:space="0" w:color="auto"/>
            <w:bottom w:val="none" w:sz="0" w:space="0" w:color="auto"/>
            <w:right w:val="none" w:sz="0" w:space="0" w:color="auto"/>
          </w:divBdr>
        </w:div>
        <w:div w:id="716776686">
          <w:marLeft w:val="360"/>
          <w:marRight w:val="0"/>
          <w:marTop w:val="200"/>
          <w:marBottom w:val="0"/>
          <w:divBdr>
            <w:top w:val="none" w:sz="0" w:space="0" w:color="auto"/>
            <w:left w:val="none" w:sz="0" w:space="0" w:color="auto"/>
            <w:bottom w:val="none" w:sz="0" w:space="0" w:color="auto"/>
            <w:right w:val="none" w:sz="0" w:space="0" w:color="auto"/>
          </w:divBdr>
        </w:div>
      </w:divsChild>
    </w:div>
    <w:div w:id="1363092073">
      <w:bodyDiv w:val="1"/>
      <w:marLeft w:val="0"/>
      <w:marRight w:val="0"/>
      <w:marTop w:val="0"/>
      <w:marBottom w:val="0"/>
      <w:divBdr>
        <w:top w:val="none" w:sz="0" w:space="0" w:color="auto"/>
        <w:left w:val="none" w:sz="0" w:space="0" w:color="auto"/>
        <w:bottom w:val="none" w:sz="0" w:space="0" w:color="auto"/>
        <w:right w:val="none" w:sz="0" w:space="0" w:color="auto"/>
      </w:divBdr>
      <w:divsChild>
        <w:div w:id="1230770039">
          <w:marLeft w:val="446"/>
          <w:marRight w:val="0"/>
          <w:marTop w:val="0"/>
          <w:marBottom w:val="0"/>
          <w:divBdr>
            <w:top w:val="none" w:sz="0" w:space="0" w:color="auto"/>
            <w:left w:val="none" w:sz="0" w:space="0" w:color="auto"/>
            <w:bottom w:val="none" w:sz="0" w:space="0" w:color="auto"/>
            <w:right w:val="none" w:sz="0" w:space="0" w:color="auto"/>
          </w:divBdr>
        </w:div>
      </w:divsChild>
    </w:div>
    <w:div w:id="1529417388">
      <w:bodyDiv w:val="1"/>
      <w:marLeft w:val="0"/>
      <w:marRight w:val="0"/>
      <w:marTop w:val="0"/>
      <w:marBottom w:val="0"/>
      <w:divBdr>
        <w:top w:val="none" w:sz="0" w:space="0" w:color="auto"/>
        <w:left w:val="none" w:sz="0" w:space="0" w:color="auto"/>
        <w:bottom w:val="none" w:sz="0" w:space="0" w:color="auto"/>
        <w:right w:val="none" w:sz="0" w:space="0" w:color="auto"/>
      </w:divBdr>
      <w:divsChild>
        <w:div w:id="369455721">
          <w:marLeft w:val="360"/>
          <w:marRight w:val="0"/>
          <w:marTop w:val="200"/>
          <w:marBottom w:val="0"/>
          <w:divBdr>
            <w:top w:val="none" w:sz="0" w:space="0" w:color="auto"/>
            <w:left w:val="none" w:sz="0" w:space="0" w:color="auto"/>
            <w:bottom w:val="none" w:sz="0" w:space="0" w:color="auto"/>
            <w:right w:val="none" w:sz="0" w:space="0" w:color="auto"/>
          </w:divBdr>
        </w:div>
      </w:divsChild>
    </w:div>
    <w:div w:id="1575161968">
      <w:bodyDiv w:val="1"/>
      <w:marLeft w:val="0"/>
      <w:marRight w:val="0"/>
      <w:marTop w:val="0"/>
      <w:marBottom w:val="0"/>
      <w:divBdr>
        <w:top w:val="none" w:sz="0" w:space="0" w:color="auto"/>
        <w:left w:val="none" w:sz="0" w:space="0" w:color="auto"/>
        <w:bottom w:val="none" w:sz="0" w:space="0" w:color="auto"/>
        <w:right w:val="none" w:sz="0" w:space="0" w:color="auto"/>
      </w:divBdr>
      <w:divsChild>
        <w:div w:id="241918865">
          <w:marLeft w:val="360"/>
          <w:marRight w:val="0"/>
          <w:marTop w:val="200"/>
          <w:marBottom w:val="0"/>
          <w:divBdr>
            <w:top w:val="none" w:sz="0" w:space="0" w:color="auto"/>
            <w:left w:val="none" w:sz="0" w:space="0" w:color="auto"/>
            <w:bottom w:val="none" w:sz="0" w:space="0" w:color="auto"/>
            <w:right w:val="none" w:sz="0" w:space="0" w:color="auto"/>
          </w:divBdr>
        </w:div>
        <w:div w:id="1026903772">
          <w:marLeft w:val="360"/>
          <w:marRight w:val="0"/>
          <w:marTop w:val="200"/>
          <w:marBottom w:val="0"/>
          <w:divBdr>
            <w:top w:val="none" w:sz="0" w:space="0" w:color="auto"/>
            <w:left w:val="none" w:sz="0" w:space="0" w:color="auto"/>
            <w:bottom w:val="none" w:sz="0" w:space="0" w:color="auto"/>
            <w:right w:val="none" w:sz="0" w:space="0" w:color="auto"/>
          </w:divBdr>
        </w:div>
      </w:divsChild>
    </w:div>
    <w:div w:id="1647777804">
      <w:bodyDiv w:val="1"/>
      <w:marLeft w:val="0"/>
      <w:marRight w:val="0"/>
      <w:marTop w:val="0"/>
      <w:marBottom w:val="0"/>
      <w:divBdr>
        <w:top w:val="none" w:sz="0" w:space="0" w:color="auto"/>
        <w:left w:val="none" w:sz="0" w:space="0" w:color="auto"/>
        <w:bottom w:val="none" w:sz="0" w:space="0" w:color="auto"/>
        <w:right w:val="none" w:sz="0" w:space="0" w:color="auto"/>
      </w:divBdr>
      <w:divsChild>
        <w:div w:id="795292734">
          <w:marLeft w:val="446"/>
          <w:marRight w:val="0"/>
          <w:marTop w:val="0"/>
          <w:marBottom w:val="0"/>
          <w:divBdr>
            <w:top w:val="none" w:sz="0" w:space="0" w:color="auto"/>
            <w:left w:val="none" w:sz="0" w:space="0" w:color="auto"/>
            <w:bottom w:val="none" w:sz="0" w:space="0" w:color="auto"/>
            <w:right w:val="none" w:sz="0" w:space="0" w:color="auto"/>
          </w:divBdr>
        </w:div>
        <w:div w:id="225386423">
          <w:marLeft w:val="1166"/>
          <w:marRight w:val="0"/>
          <w:marTop w:val="0"/>
          <w:marBottom w:val="0"/>
          <w:divBdr>
            <w:top w:val="none" w:sz="0" w:space="0" w:color="auto"/>
            <w:left w:val="none" w:sz="0" w:space="0" w:color="auto"/>
            <w:bottom w:val="none" w:sz="0" w:space="0" w:color="auto"/>
            <w:right w:val="none" w:sz="0" w:space="0" w:color="auto"/>
          </w:divBdr>
        </w:div>
        <w:div w:id="1419131808">
          <w:marLeft w:val="1166"/>
          <w:marRight w:val="0"/>
          <w:marTop w:val="0"/>
          <w:marBottom w:val="0"/>
          <w:divBdr>
            <w:top w:val="none" w:sz="0" w:space="0" w:color="auto"/>
            <w:left w:val="none" w:sz="0" w:space="0" w:color="auto"/>
            <w:bottom w:val="none" w:sz="0" w:space="0" w:color="auto"/>
            <w:right w:val="none" w:sz="0" w:space="0" w:color="auto"/>
          </w:divBdr>
        </w:div>
        <w:div w:id="659389198">
          <w:marLeft w:val="1166"/>
          <w:marRight w:val="0"/>
          <w:marTop w:val="0"/>
          <w:marBottom w:val="0"/>
          <w:divBdr>
            <w:top w:val="none" w:sz="0" w:space="0" w:color="auto"/>
            <w:left w:val="none" w:sz="0" w:space="0" w:color="auto"/>
            <w:bottom w:val="none" w:sz="0" w:space="0" w:color="auto"/>
            <w:right w:val="none" w:sz="0" w:space="0" w:color="auto"/>
          </w:divBdr>
        </w:div>
      </w:divsChild>
    </w:div>
    <w:div w:id="1737312925">
      <w:bodyDiv w:val="1"/>
      <w:marLeft w:val="0"/>
      <w:marRight w:val="0"/>
      <w:marTop w:val="0"/>
      <w:marBottom w:val="0"/>
      <w:divBdr>
        <w:top w:val="none" w:sz="0" w:space="0" w:color="auto"/>
        <w:left w:val="none" w:sz="0" w:space="0" w:color="auto"/>
        <w:bottom w:val="none" w:sz="0" w:space="0" w:color="auto"/>
        <w:right w:val="none" w:sz="0" w:space="0" w:color="auto"/>
      </w:divBdr>
      <w:divsChild>
        <w:div w:id="3037018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ttawablog.com/2020/09/rotem-in-trauma-blood-is-thicker-with-wine-part-1-the-evidence/" TargetMode="External"/><Relationship Id="rId13" Type="http://schemas.openxmlformats.org/officeDocument/2006/relationships/hyperlink" Target="https://litfl.com/thromboelastogram-t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12813333" TargetMode="External"/><Relationship Id="rId12" Type="http://schemas.openxmlformats.org/officeDocument/2006/relationships/hyperlink" Target="https://www.ncbi.nlm.nih.gov/pubmed/167634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mra.org/emresident/article/teg-and-rote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cbi.nlm.nih.gov/pubmed/16763478" TargetMode="External"/><Relationship Id="rId5" Type="http://schemas.openxmlformats.org/officeDocument/2006/relationships/image" Target="media/image1.png"/><Relationship Id="rId15" Type="http://schemas.openxmlformats.org/officeDocument/2006/relationships/hyperlink" Target="https://www.emra.org/emresident/article/teg-and-rotem/" TargetMode="External"/><Relationship Id="rId10" Type="http://schemas.openxmlformats.org/officeDocument/2006/relationships/hyperlink" Target="https://www.ncbi.nlm.nih.gov/pubmed/16763478" TargetMode="External"/><Relationship Id="rId4" Type="http://schemas.openxmlformats.org/officeDocument/2006/relationships/webSettings" Target="webSettings.xml"/><Relationship Id="rId9" Type="http://schemas.openxmlformats.org/officeDocument/2006/relationships/hyperlink" Target="https://emottawablog.com/2020/09/rotem-in-trauma-blood-is-thicker-with-wine-part-1-the-evidence/" TargetMode="External"/><Relationship Id="rId14" Type="http://schemas.openxmlformats.org/officeDocument/2006/relationships/hyperlink" Target="https://litfl.com/thromboelastogram-t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ateshia walker</dc:creator>
  <cp:keywords/>
  <dc:description/>
  <cp:lastModifiedBy>Tim Makrides</cp:lastModifiedBy>
  <cp:revision>2</cp:revision>
  <dcterms:created xsi:type="dcterms:W3CDTF">2020-12-08T21:09:00Z</dcterms:created>
  <dcterms:modified xsi:type="dcterms:W3CDTF">2020-12-08T21:09:00Z</dcterms:modified>
</cp:coreProperties>
</file>