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91DA" w14:textId="0E4C8F9F" w:rsidR="00E838E4" w:rsidRDefault="00D16082" w:rsidP="00E838E4">
      <w:pPr>
        <w:pStyle w:val="NoSpacing"/>
      </w:pPr>
      <w:r>
        <w:t>UBC Department of Emergency Medicine Grand Rounds</w:t>
      </w:r>
    </w:p>
    <w:p w14:paraId="2A2E7572" w14:textId="77777777" w:rsidR="00D16082" w:rsidRDefault="00D16082" w:rsidP="00E838E4">
      <w:pPr>
        <w:pStyle w:val="NoSpacing"/>
      </w:pPr>
    </w:p>
    <w:p w14:paraId="38521D5D" w14:textId="5FB70A9C" w:rsidR="002D32F3" w:rsidRPr="00D16082" w:rsidRDefault="00E838E4" w:rsidP="00E838E4">
      <w:pPr>
        <w:pStyle w:val="NoSpacing"/>
        <w:rPr>
          <w:b/>
          <w:bCs/>
          <w:sz w:val="28"/>
          <w:szCs w:val="28"/>
        </w:rPr>
      </w:pPr>
      <w:r w:rsidRPr="00D16082">
        <w:rPr>
          <w:b/>
          <w:bCs/>
          <w:sz w:val="28"/>
          <w:szCs w:val="28"/>
        </w:rPr>
        <w:t>Pediatric Sepsis 2020 Update</w:t>
      </w:r>
      <w:r w:rsidR="00D16082" w:rsidRPr="00D16082">
        <w:rPr>
          <w:b/>
          <w:bCs/>
          <w:sz w:val="28"/>
          <w:szCs w:val="28"/>
        </w:rPr>
        <w:t>:</w:t>
      </w:r>
    </w:p>
    <w:p w14:paraId="77DEC510" w14:textId="470DCC55" w:rsidR="00E838E4" w:rsidRPr="00D16082" w:rsidRDefault="00E838E4" w:rsidP="00E838E4">
      <w:pPr>
        <w:pStyle w:val="NoSpacing"/>
        <w:rPr>
          <w:sz w:val="28"/>
          <w:szCs w:val="28"/>
        </w:rPr>
      </w:pPr>
      <w:r w:rsidRPr="00D16082">
        <w:rPr>
          <w:sz w:val="28"/>
          <w:szCs w:val="28"/>
        </w:rPr>
        <w:t>Reviewing Surviving Sepsis Campaign</w:t>
      </w:r>
      <w:r w:rsidRPr="00D16082">
        <w:rPr>
          <w:sz w:val="28"/>
          <w:szCs w:val="28"/>
        </w:rPr>
        <w:t xml:space="preserve"> International Guidelines for the Management of Septic Shock and Sepsis-Associated Organ Dysfunction in Children</w:t>
      </w:r>
    </w:p>
    <w:p w14:paraId="6BAA0F39" w14:textId="77777777" w:rsidR="00E838E4" w:rsidRDefault="00E838E4" w:rsidP="00E838E4">
      <w:pPr>
        <w:pStyle w:val="NoSpacing"/>
      </w:pPr>
    </w:p>
    <w:p w14:paraId="4E38DECC" w14:textId="3CFE6569" w:rsidR="00E838E4" w:rsidRDefault="00E838E4" w:rsidP="00E838E4">
      <w:pPr>
        <w:pStyle w:val="NoSpacing"/>
      </w:pPr>
      <w:r>
        <w:t>October 2020</w:t>
      </w:r>
    </w:p>
    <w:p w14:paraId="04B2913D" w14:textId="7E49E89E" w:rsidR="00E838E4" w:rsidRDefault="00E838E4" w:rsidP="00E838E4">
      <w:pPr>
        <w:pStyle w:val="NoSpacing"/>
      </w:pPr>
      <w:r>
        <w:t>Nathan Stefani</w:t>
      </w:r>
      <w:r w:rsidR="00D16082">
        <w:t xml:space="preserve"> PGY4</w:t>
      </w:r>
    </w:p>
    <w:p w14:paraId="3ABD29AE" w14:textId="05F4CDC8" w:rsidR="00E838E4" w:rsidRDefault="00E838E4" w:rsidP="00E838E4">
      <w:pPr>
        <w:pStyle w:val="NoSpacing"/>
      </w:pPr>
    </w:p>
    <w:p w14:paraId="1B8735C5" w14:textId="7764A9B9" w:rsidR="00E838E4" w:rsidRDefault="00E838E4" w:rsidP="00E838E4">
      <w:pPr>
        <w:pStyle w:val="NoSpacing"/>
        <w:rPr>
          <w:b/>
          <w:bCs/>
          <w:sz w:val="24"/>
          <w:szCs w:val="24"/>
        </w:rPr>
      </w:pPr>
      <w:r w:rsidRPr="00D16082">
        <w:rPr>
          <w:b/>
          <w:bCs/>
          <w:sz w:val="24"/>
          <w:szCs w:val="24"/>
        </w:rPr>
        <w:t>Summary Points</w:t>
      </w:r>
      <w:r w:rsidR="00840EC4" w:rsidRPr="00D16082">
        <w:rPr>
          <w:b/>
          <w:bCs/>
          <w:sz w:val="24"/>
          <w:szCs w:val="24"/>
        </w:rPr>
        <w:t xml:space="preserve">/SSC </w:t>
      </w:r>
      <w:r w:rsidR="00D16082" w:rsidRPr="00D16082">
        <w:rPr>
          <w:b/>
          <w:bCs/>
          <w:sz w:val="24"/>
          <w:szCs w:val="24"/>
        </w:rPr>
        <w:t>R</w:t>
      </w:r>
      <w:r w:rsidR="00840EC4" w:rsidRPr="00D16082">
        <w:rPr>
          <w:b/>
          <w:bCs/>
          <w:sz w:val="24"/>
          <w:szCs w:val="24"/>
        </w:rPr>
        <w:t>ecommendations:</w:t>
      </w:r>
    </w:p>
    <w:p w14:paraId="6BD01E08" w14:textId="77777777" w:rsidR="00D16082" w:rsidRPr="00D16082" w:rsidRDefault="00D16082" w:rsidP="00E838E4">
      <w:pPr>
        <w:pStyle w:val="NoSpacing"/>
        <w:rPr>
          <w:b/>
          <w:bCs/>
          <w:sz w:val="14"/>
          <w:szCs w:val="14"/>
        </w:rPr>
      </w:pPr>
    </w:p>
    <w:p w14:paraId="3D189CA6" w14:textId="5027A47B" w:rsidR="00E838E4" w:rsidRDefault="00E838E4" w:rsidP="00E838E4">
      <w:pPr>
        <w:pStyle w:val="NoSpacing"/>
        <w:numPr>
          <w:ilvl w:val="0"/>
          <w:numId w:val="1"/>
        </w:numPr>
      </w:pPr>
      <w:r>
        <w:t>Pediatric shock is a CLINICAL diagnosis, requiring focused exam (pediatric assessment triangle), not just blood pressure, which can be normal in septic shock</w:t>
      </w:r>
      <w:r w:rsidR="00D16082">
        <w:t>.</w:t>
      </w:r>
    </w:p>
    <w:p w14:paraId="4226E3E4" w14:textId="1BDDE810" w:rsidR="00E838E4" w:rsidRDefault="00E838E4" w:rsidP="00E838E4">
      <w:pPr>
        <w:pStyle w:val="NoSpacing"/>
        <w:numPr>
          <w:ilvl w:val="0"/>
          <w:numId w:val="1"/>
        </w:numPr>
      </w:pPr>
      <w:r>
        <w:t>Altered LOC and early kidney injury are early warning signs of shock</w:t>
      </w:r>
      <w:r w:rsidR="00D16082">
        <w:t>.</w:t>
      </w:r>
    </w:p>
    <w:p w14:paraId="0CDE2F4D" w14:textId="59CE0877" w:rsidR="00E838E4" w:rsidRDefault="00E838E4" w:rsidP="00E838E4">
      <w:pPr>
        <w:pStyle w:val="NoSpacing"/>
        <w:numPr>
          <w:ilvl w:val="0"/>
          <w:numId w:val="1"/>
        </w:numPr>
      </w:pPr>
      <w:r>
        <w:t>Be wary of unexplained tachycardia or tachypnea</w:t>
      </w:r>
      <w:r w:rsidR="00D16082">
        <w:t>.</w:t>
      </w:r>
    </w:p>
    <w:p w14:paraId="2F54EB83" w14:textId="42864398" w:rsidR="00E838E4" w:rsidRDefault="00E838E4" w:rsidP="00E838E4">
      <w:pPr>
        <w:pStyle w:val="NoSpacing"/>
        <w:numPr>
          <w:ilvl w:val="0"/>
          <w:numId w:val="1"/>
        </w:numPr>
      </w:pPr>
      <w:r>
        <w:t xml:space="preserve">Blood cultures strongly recommended before empiric antibiotics </w:t>
      </w:r>
      <w:r w:rsidR="00D16082">
        <w:t>are started.</w:t>
      </w:r>
    </w:p>
    <w:p w14:paraId="02321FBC" w14:textId="30CF5061" w:rsidR="00E838E4" w:rsidRDefault="00E838E4" w:rsidP="00E838E4">
      <w:pPr>
        <w:pStyle w:val="NoSpacing"/>
        <w:numPr>
          <w:ilvl w:val="0"/>
          <w:numId w:val="1"/>
        </w:numPr>
      </w:pPr>
      <w:r>
        <w:t>Ceftriaxone (i.e. 100mg/kg) is sufficient monotherapy in majority of peds sepsis/septic shock</w:t>
      </w:r>
    </w:p>
    <w:p w14:paraId="12696B95" w14:textId="72318608" w:rsidR="00E838E4" w:rsidRDefault="00E838E4" w:rsidP="00E838E4">
      <w:pPr>
        <w:pStyle w:val="NoSpacing"/>
        <w:numPr>
          <w:ilvl w:val="0"/>
          <w:numId w:val="1"/>
        </w:numPr>
      </w:pPr>
      <w:r>
        <w:t>Consider adding Vancomycin if MRSA or meningitis suspected</w:t>
      </w:r>
      <w:r w:rsidR="00840EC4">
        <w:t xml:space="preserve"> (i.e. </w:t>
      </w:r>
      <w:r w:rsidR="00840EC4" w:rsidRPr="00840EC4">
        <w:t>cephalosporin-resistant pneumococcus</w:t>
      </w:r>
      <w:r w:rsidR="00840EC4">
        <w:t>)</w:t>
      </w:r>
      <w:r>
        <w:t>. Consider Ampicillin/Gentamicin/Acyclovir for neonates (&lt;1mo old)</w:t>
      </w:r>
    </w:p>
    <w:p w14:paraId="354E58B9" w14:textId="30CAD2AB" w:rsidR="00E838E4" w:rsidRDefault="00840EC4" w:rsidP="00E838E4">
      <w:pPr>
        <w:pStyle w:val="NoSpacing"/>
        <w:numPr>
          <w:ilvl w:val="0"/>
          <w:numId w:val="1"/>
        </w:numPr>
      </w:pPr>
      <w:r>
        <w:t>Fluid boluses should be 20ml/kg using pull/push method in kids &lt;20kg with small gauge IVs (optime administration speed). Up to 60ml in first hour</w:t>
      </w:r>
      <w:r w:rsidR="00D16082">
        <w:t xml:space="preserve"> (strongest evidence if in well-resourced center that can manage any respiratory compromise from fluid overload).</w:t>
      </w:r>
    </w:p>
    <w:p w14:paraId="69F69113" w14:textId="3DF0CBFA" w:rsidR="00840EC4" w:rsidRDefault="00840EC4" w:rsidP="00E838E4">
      <w:pPr>
        <w:pStyle w:val="NoSpacing"/>
        <w:numPr>
          <w:ilvl w:val="0"/>
          <w:numId w:val="1"/>
        </w:numPr>
      </w:pPr>
      <w:r>
        <w:t xml:space="preserve">Assess for fluid overload with each bolus: liver edge drop, lung crackles, increased </w:t>
      </w:r>
      <w:r w:rsidR="00D16082">
        <w:t xml:space="preserve">resp efforts. </w:t>
      </w:r>
    </w:p>
    <w:p w14:paraId="13B6C0A2" w14:textId="35977921" w:rsidR="00840EC4" w:rsidRDefault="00840EC4" w:rsidP="00E838E4">
      <w:pPr>
        <w:pStyle w:val="NoSpacing"/>
        <w:numPr>
          <w:ilvl w:val="0"/>
          <w:numId w:val="1"/>
        </w:numPr>
      </w:pPr>
      <w:r>
        <w:t>Epinephrine infusion considered after 2</w:t>
      </w:r>
      <w:r w:rsidRPr="00840EC4">
        <w:rPr>
          <w:vertAlign w:val="superscript"/>
        </w:rPr>
        <w:t>nd</w:t>
      </w:r>
      <w:r>
        <w:t xml:space="preserve"> bolus (epi first line &gt; </w:t>
      </w:r>
      <w:proofErr w:type="spellStart"/>
      <w:r>
        <w:t>norepi</w:t>
      </w:r>
      <w:proofErr w:type="spellEnd"/>
      <w:r>
        <w:t xml:space="preserve"> especially in cold shock)</w:t>
      </w:r>
    </w:p>
    <w:p w14:paraId="6C6D44FF" w14:textId="4AB5EA0A" w:rsidR="00840EC4" w:rsidRDefault="00840EC4" w:rsidP="00840EC4">
      <w:pPr>
        <w:pStyle w:val="NoSpacing"/>
        <w:numPr>
          <w:ilvl w:val="0"/>
          <w:numId w:val="1"/>
        </w:numPr>
      </w:pPr>
      <w:r>
        <w:t xml:space="preserve">Consider early intubation for </w:t>
      </w:r>
      <w:r w:rsidRPr="00840EC4">
        <w:t xml:space="preserve">fluid-refractory, catecholamine-resistant septic shock </w:t>
      </w:r>
      <w:r>
        <w:t xml:space="preserve">even </w:t>
      </w:r>
      <w:r w:rsidRPr="00840EC4">
        <w:rPr>
          <w:i/>
          <w:iCs/>
        </w:rPr>
        <w:t xml:space="preserve">without </w:t>
      </w:r>
      <w:r w:rsidRPr="00840EC4">
        <w:t>respiratory failure</w:t>
      </w:r>
      <w:r w:rsidR="00D16082">
        <w:t>.</w:t>
      </w:r>
    </w:p>
    <w:p w14:paraId="0F0EB48B" w14:textId="18F6A4C4" w:rsidR="00840EC4" w:rsidRDefault="00840EC4" w:rsidP="00E838E4">
      <w:pPr>
        <w:pStyle w:val="NoSpacing"/>
        <w:numPr>
          <w:ilvl w:val="0"/>
          <w:numId w:val="1"/>
        </w:numPr>
      </w:pPr>
      <w:r>
        <w:t>Corticosteroids: no definitive SSC recommendations. Some experts give hydrocortisone if they give vasoactive medications.</w:t>
      </w:r>
    </w:p>
    <w:p w14:paraId="09AC1722" w14:textId="4C16388C" w:rsidR="00840EC4" w:rsidRDefault="00840EC4" w:rsidP="00E838E4">
      <w:pPr>
        <w:pStyle w:val="NoSpacing"/>
        <w:numPr>
          <w:ilvl w:val="0"/>
          <w:numId w:val="1"/>
        </w:numPr>
      </w:pPr>
      <w:r>
        <w:t xml:space="preserve">Calcium: target normal </w:t>
      </w:r>
      <w:proofErr w:type="spellStart"/>
      <w:r>
        <w:t>iCa</w:t>
      </w:r>
      <w:proofErr w:type="spellEnd"/>
      <w:r>
        <w:t xml:space="preserve"> in patients receiving vasoactive medications. </w:t>
      </w:r>
    </w:p>
    <w:p w14:paraId="0B841F84" w14:textId="2A0C42DE" w:rsidR="00840EC4" w:rsidRDefault="00D16082" w:rsidP="00E838E4">
      <w:pPr>
        <w:pStyle w:val="NoSpacing"/>
        <w:numPr>
          <w:ilvl w:val="0"/>
          <w:numId w:val="1"/>
        </w:numPr>
      </w:pPr>
      <w:r>
        <w:t>Glucose: t</w:t>
      </w:r>
      <w:r w:rsidRPr="00D16082">
        <w:t>arget &lt;10 mmol/L with insulin</w:t>
      </w:r>
      <w:r>
        <w:t xml:space="preserve"> (weak recommendation).</w:t>
      </w:r>
    </w:p>
    <w:p w14:paraId="24789C3F" w14:textId="336DFFD6" w:rsidR="00D16082" w:rsidRDefault="00D16082" w:rsidP="00E838E4">
      <w:pPr>
        <w:pStyle w:val="NoSpacing"/>
        <w:numPr>
          <w:ilvl w:val="0"/>
          <w:numId w:val="1"/>
        </w:numPr>
      </w:pPr>
      <w:r>
        <w:t xml:space="preserve">Antipyretics: no recommendations. May help optimize comfort. </w:t>
      </w:r>
    </w:p>
    <w:p w14:paraId="1B97B822" w14:textId="40745A38" w:rsidR="00D16082" w:rsidRPr="00D16082" w:rsidRDefault="00D16082" w:rsidP="00975D72">
      <w:pPr>
        <w:pStyle w:val="NoSpacing"/>
        <w:numPr>
          <w:ilvl w:val="0"/>
          <w:numId w:val="1"/>
        </w:numPr>
      </w:pPr>
      <w:r>
        <w:t xml:space="preserve">ECMO: SSC recommends considering </w:t>
      </w:r>
      <w:r w:rsidRPr="00D16082">
        <w:t xml:space="preserve">VV ECMO for children with </w:t>
      </w:r>
      <w:proofErr w:type="gramStart"/>
      <w:r w:rsidRPr="00D16082">
        <w:t>sepsis-induced</w:t>
      </w:r>
      <w:proofErr w:type="gramEnd"/>
      <w:r w:rsidRPr="00D16082">
        <w:t xml:space="preserve"> ARDS and refractory hypoxia</w:t>
      </w:r>
      <w:r>
        <w:t xml:space="preserve"> and </w:t>
      </w:r>
      <w:r w:rsidRPr="00D16082">
        <w:t>VA ECMO for septic shock if refractory to all other therapies</w:t>
      </w:r>
      <w:r>
        <w:t>.</w:t>
      </w:r>
    </w:p>
    <w:p w14:paraId="1DFC8FA2" w14:textId="267FA255" w:rsidR="00D16082" w:rsidRDefault="00D16082" w:rsidP="00D16082">
      <w:pPr>
        <w:pStyle w:val="NoSpacing"/>
        <w:ind w:left="720"/>
      </w:pPr>
    </w:p>
    <w:sectPr w:rsidR="00D1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8E7"/>
    <w:multiLevelType w:val="hybridMultilevel"/>
    <w:tmpl w:val="B256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F5648"/>
    <w:multiLevelType w:val="multilevel"/>
    <w:tmpl w:val="C154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E4"/>
    <w:rsid w:val="002D32F3"/>
    <w:rsid w:val="00840EC4"/>
    <w:rsid w:val="00D16082"/>
    <w:rsid w:val="00E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A879"/>
  <w15:chartTrackingRefBased/>
  <w15:docId w15:val="{3EA246FC-6E55-45FC-8B69-D5470C4D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8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0E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</cp:revision>
  <dcterms:created xsi:type="dcterms:W3CDTF">2021-01-21T05:41:00Z</dcterms:created>
  <dcterms:modified xsi:type="dcterms:W3CDTF">2021-01-21T06:09:00Z</dcterms:modified>
</cp:coreProperties>
</file>