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C04" w:rsidRDefault="00D56818">
      <w:pPr>
        <w:pStyle w:val="BodyText"/>
        <w:ind w:left="130" w:right="0"/>
        <w:rPr>
          <w:rFonts w:ascii="Times New Roman"/>
          <w:sz w:val="20"/>
        </w:rPr>
      </w:pPr>
      <w:r>
        <w:rPr>
          <w:rFonts w:ascii="Times New Roman"/>
          <w:noProof/>
          <w:sz w:val="20"/>
        </w:rPr>
        <w:drawing>
          <wp:inline distT="0" distB="0" distL="0" distR="0" wp14:anchorId="3A0F424D" wp14:editId="766F5F28">
            <wp:extent cx="1813536" cy="17141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13536" cy="1714119"/>
                    </a:xfrm>
                    <a:prstGeom prst="rect">
                      <a:avLst/>
                    </a:prstGeom>
                  </pic:spPr>
                </pic:pic>
              </a:graphicData>
            </a:graphic>
          </wp:inline>
        </w:drawing>
      </w:r>
    </w:p>
    <w:p w:rsidR="00BD1C04" w:rsidRDefault="00BD1C04">
      <w:pPr>
        <w:pStyle w:val="BodyText"/>
        <w:spacing w:before="1"/>
        <w:ind w:left="0" w:right="0"/>
        <w:rPr>
          <w:rFonts w:ascii="Times New Roman"/>
          <w:sz w:val="6"/>
        </w:rPr>
      </w:pPr>
    </w:p>
    <w:p w:rsidR="00BD1C04" w:rsidRDefault="00D56818">
      <w:pPr>
        <w:pStyle w:val="Title"/>
      </w:pPr>
      <w:r>
        <w:rPr>
          <w:color w:val="2E5C7C"/>
          <w:w w:val="105"/>
        </w:rPr>
        <w:t>Article</w:t>
      </w:r>
      <w:r>
        <w:rPr>
          <w:color w:val="2E5C7C"/>
          <w:spacing w:val="2"/>
          <w:w w:val="105"/>
        </w:rPr>
        <w:t xml:space="preserve"> </w:t>
      </w:r>
      <w:r>
        <w:rPr>
          <w:color w:val="2E5C7C"/>
          <w:w w:val="105"/>
        </w:rPr>
        <w:t>Appraisal</w:t>
      </w:r>
    </w:p>
    <w:p w:rsidR="00BD1C04" w:rsidRDefault="00BD1C04">
      <w:pPr>
        <w:pStyle w:val="BodyText"/>
        <w:spacing w:before="2"/>
        <w:ind w:left="0" w:right="0"/>
        <w:rPr>
          <w:sz w:val="72"/>
        </w:rPr>
      </w:pPr>
    </w:p>
    <w:p w:rsidR="007753CC" w:rsidRDefault="00D56818" w:rsidP="007753CC">
      <w:pPr>
        <w:pStyle w:val="BodyText"/>
        <w:spacing w:before="3"/>
        <w:ind w:left="116" w:right="267"/>
        <w:rPr>
          <w:rFonts w:ascii="Times New Roman" w:eastAsia="Times New Roman" w:hAnsi="Times New Roman" w:cs="Times New Roman"/>
        </w:rPr>
      </w:pPr>
      <w:r>
        <w:rPr>
          <w:b/>
          <w:color w:val="2E5C7C"/>
          <w:sz w:val="24"/>
        </w:rPr>
        <w:t>Article:</w:t>
      </w:r>
      <w:r>
        <w:rPr>
          <w:b/>
          <w:color w:val="2E5C7C"/>
          <w:spacing w:val="-2"/>
          <w:sz w:val="24"/>
        </w:rPr>
        <w:t xml:space="preserve"> </w:t>
      </w:r>
      <w:r w:rsidR="007753CC">
        <w:rPr>
          <w:color w:val="212121"/>
        </w:rPr>
        <w:t xml:space="preserve">McAlister FA, </w:t>
      </w:r>
      <w:proofErr w:type="spellStart"/>
      <w:r w:rsidR="007753CC">
        <w:rPr>
          <w:color w:val="212121"/>
        </w:rPr>
        <w:t>Youngson</w:t>
      </w:r>
      <w:proofErr w:type="spellEnd"/>
      <w:r w:rsidR="007753CC">
        <w:rPr>
          <w:color w:val="212121"/>
        </w:rPr>
        <w:t xml:space="preserve"> E, Rowe BH. Elevated Blood Pressures Are Common in the Emergency</w:t>
      </w:r>
      <w:r w:rsidR="007753CC">
        <w:rPr>
          <w:color w:val="212121"/>
          <w:spacing w:val="1"/>
        </w:rPr>
        <w:t xml:space="preserve"> </w:t>
      </w:r>
      <w:r w:rsidR="007753CC">
        <w:rPr>
          <w:color w:val="212121"/>
        </w:rPr>
        <w:t>Department</w:t>
      </w:r>
      <w:r w:rsidR="007753CC">
        <w:rPr>
          <w:color w:val="212121"/>
          <w:spacing w:val="-3"/>
        </w:rPr>
        <w:t xml:space="preserve"> </w:t>
      </w:r>
      <w:r w:rsidR="007753CC">
        <w:rPr>
          <w:color w:val="212121"/>
        </w:rPr>
        <w:t>but</w:t>
      </w:r>
      <w:r w:rsidR="007753CC">
        <w:rPr>
          <w:color w:val="212121"/>
          <w:spacing w:val="-2"/>
        </w:rPr>
        <w:t xml:space="preserve"> </w:t>
      </w:r>
      <w:r w:rsidR="007753CC">
        <w:rPr>
          <w:color w:val="212121"/>
        </w:rPr>
        <w:t>Are</w:t>
      </w:r>
      <w:r w:rsidR="007753CC">
        <w:rPr>
          <w:color w:val="212121"/>
          <w:spacing w:val="-2"/>
        </w:rPr>
        <w:t xml:space="preserve"> </w:t>
      </w:r>
      <w:r w:rsidR="007753CC">
        <w:rPr>
          <w:color w:val="212121"/>
        </w:rPr>
        <w:t>They</w:t>
      </w:r>
      <w:r w:rsidR="007753CC">
        <w:rPr>
          <w:color w:val="212121"/>
          <w:spacing w:val="-1"/>
        </w:rPr>
        <w:t xml:space="preserve"> </w:t>
      </w:r>
      <w:r w:rsidR="007753CC">
        <w:rPr>
          <w:color w:val="212121"/>
        </w:rPr>
        <w:t>Important?</w:t>
      </w:r>
      <w:r w:rsidR="007753CC">
        <w:rPr>
          <w:color w:val="212121"/>
          <w:spacing w:val="-2"/>
        </w:rPr>
        <w:t xml:space="preserve"> </w:t>
      </w:r>
      <w:r w:rsidR="007753CC">
        <w:rPr>
          <w:color w:val="212121"/>
        </w:rPr>
        <w:t>A</w:t>
      </w:r>
      <w:r w:rsidR="007753CC">
        <w:rPr>
          <w:color w:val="212121"/>
          <w:spacing w:val="-1"/>
        </w:rPr>
        <w:t xml:space="preserve"> </w:t>
      </w:r>
      <w:r w:rsidR="007753CC">
        <w:rPr>
          <w:color w:val="212121"/>
        </w:rPr>
        <w:t>Retrospective</w:t>
      </w:r>
      <w:r w:rsidR="007753CC">
        <w:rPr>
          <w:color w:val="212121"/>
          <w:spacing w:val="-2"/>
        </w:rPr>
        <w:t xml:space="preserve"> </w:t>
      </w:r>
      <w:r w:rsidR="007753CC">
        <w:rPr>
          <w:color w:val="212121"/>
        </w:rPr>
        <w:t>Cohort</w:t>
      </w:r>
      <w:r w:rsidR="007753CC">
        <w:rPr>
          <w:color w:val="212121"/>
          <w:spacing w:val="-2"/>
        </w:rPr>
        <w:t xml:space="preserve"> </w:t>
      </w:r>
      <w:r w:rsidR="007753CC">
        <w:rPr>
          <w:color w:val="212121"/>
        </w:rPr>
        <w:t>Study</w:t>
      </w:r>
      <w:r w:rsidR="007753CC">
        <w:rPr>
          <w:color w:val="212121"/>
          <w:spacing w:val="-1"/>
        </w:rPr>
        <w:t xml:space="preserve"> </w:t>
      </w:r>
      <w:r w:rsidR="007753CC">
        <w:rPr>
          <w:color w:val="212121"/>
        </w:rPr>
        <w:t>of</w:t>
      </w:r>
      <w:r w:rsidR="007753CC">
        <w:rPr>
          <w:color w:val="212121"/>
          <w:spacing w:val="-1"/>
        </w:rPr>
        <w:t xml:space="preserve"> </w:t>
      </w:r>
      <w:r w:rsidR="007753CC">
        <w:rPr>
          <w:color w:val="212121"/>
        </w:rPr>
        <w:t>30,278</w:t>
      </w:r>
      <w:r w:rsidR="007753CC">
        <w:rPr>
          <w:color w:val="212121"/>
          <w:spacing w:val="-1"/>
        </w:rPr>
        <w:t xml:space="preserve"> </w:t>
      </w:r>
      <w:r w:rsidR="007753CC">
        <w:rPr>
          <w:color w:val="212121"/>
        </w:rPr>
        <w:t>Adults.</w:t>
      </w:r>
      <w:r w:rsidR="007753CC">
        <w:rPr>
          <w:color w:val="212121"/>
          <w:spacing w:val="-1"/>
        </w:rPr>
        <w:t xml:space="preserve"> </w:t>
      </w:r>
      <w:r w:rsidR="007753CC">
        <w:rPr>
          <w:color w:val="212121"/>
        </w:rPr>
        <w:t>Ann</w:t>
      </w:r>
      <w:r w:rsidR="007753CC">
        <w:rPr>
          <w:color w:val="212121"/>
          <w:spacing w:val="-1"/>
        </w:rPr>
        <w:t xml:space="preserve"> </w:t>
      </w:r>
      <w:proofErr w:type="spellStart"/>
      <w:r w:rsidR="007753CC">
        <w:rPr>
          <w:color w:val="212121"/>
        </w:rPr>
        <w:t>Emerg</w:t>
      </w:r>
      <w:proofErr w:type="spellEnd"/>
      <w:r w:rsidR="007753CC">
        <w:rPr>
          <w:color w:val="212121"/>
          <w:spacing w:val="-1"/>
        </w:rPr>
        <w:t xml:space="preserve"> </w:t>
      </w:r>
      <w:r w:rsidR="007753CC">
        <w:rPr>
          <w:color w:val="212121"/>
        </w:rPr>
        <w:t>Med.</w:t>
      </w:r>
      <w:r w:rsidR="007753CC">
        <w:rPr>
          <w:color w:val="212121"/>
          <w:spacing w:val="-57"/>
        </w:rPr>
        <w:t xml:space="preserve"> </w:t>
      </w:r>
      <w:r w:rsidR="007753CC">
        <w:rPr>
          <w:color w:val="212121"/>
        </w:rPr>
        <w:t>2021</w:t>
      </w:r>
      <w:r w:rsidR="007753CC">
        <w:rPr>
          <w:color w:val="212121"/>
          <w:spacing w:val="-1"/>
        </w:rPr>
        <w:t xml:space="preserve"> </w:t>
      </w:r>
      <w:r w:rsidR="007753CC">
        <w:rPr>
          <w:color w:val="212121"/>
        </w:rPr>
        <w:t xml:space="preserve">Apr;77(4):425-432. </w:t>
      </w:r>
      <w:proofErr w:type="spellStart"/>
      <w:r w:rsidR="007753CC">
        <w:rPr>
          <w:color w:val="212121"/>
        </w:rPr>
        <w:t>doi</w:t>
      </w:r>
      <w:proofErr w:type="spellEnd"/>
      <w:r w:rsidR="007753CC">
        <w:rPr>
          <w:color w:val="212121"/>
        </w:rPr>
        <w:t>:</w:t>
      </w:r>
      <w:r w:rsidR="007753CC">
        <w:rPr>
          <w:color w:val="212121"/>
          <w:spacing w:val="-1"/>
        </w:rPr>
        <w:t xml:space="preserve"> </w:t>
      </w:r>
      <w:r w:rsidR="007753CC">
        <w:rPr>
          <w:color w:val="212121"/>
        </w:rPr>
        <w:t xml:space="preserve">10.1016/j.annemergmed.2020.11.005. </w:t>
      </w:r>
      <w:proofErr w:type="spellStart"/>
      <w:r w:rsidR="007753CC">
        <w:rPr>
          <w:color w:val="212121"/>
        </w:rPr>
        <w:t>Epub</w:t>
      </w:r>
      <w:proofErr w:type="spellEnd"/>
      <w:r w:rsidR="007753CC">
        <w:rPr>
          <w:color w:val="212121"/>
          <w:spacing w:val="-1"/>
        </w:rPr>
        <w:t xml:space="preserve"> </w:t>
      </w:r>
      <w:r w:rsidR="007753CC">
        <w:rPr>
          <w:color w:val="212121"/>
        </w:rPr>
        <w:t>2021 Feb</w:t>
      </w:r>
      <w:r w:rsidR="007753CC">
        <w:rPr>
          <w:color w:val="212121"/>
          <w:spacing w:val="-1"/>
        </w:rPr>
        <w:t xml:space="preserve"> </w:t>
      </w:r>
      <w:r w:rsidR="007753CC">
        <w:rPr>
          <w:color w:val="212121"/>
        </w:rPr>
        <w:t>10. PMID:</w:t>
      </w:r>
    </w:p>
    <w:p w:rsidR="007753CC" w:rsidRDefault="007753CC" w:rsidP="007753CC">
      <w:pPr>
        <w:pStyle w:val="BodyText"/>
        <w:spacing w:line="274" w:lineRule="exact"/>
        <w:ind w:left="116"/>
      </w:pPr>
      <w:r>
        <w:rPr>
          <w:color w:val="212121"/>
        </w:rPr>
        <w:t>33579586.</w:t>
      </w:r>
    </w:p>
    <w:p w:rsidR="00BD1C04" w:rsidRDefault="00D56818">
      <w:pPr>
        <w:spacing w:before="126"/>
        <w:ind w:left="100"/>
      </w:pPr>
      <w:r>
        <w:rPr>
          <w:b/>
          <w:color w:val="2E5C7C"/>
          <w:sz w:val="24"/>
        </w:rPr>
        <w:t>Date</w:t>
      </w:r>
      <w:r>
        <w:rPr>
          <w:b/>
          <w:color w:val="2E5C7C"/>
          <w:spacing w:val="9"/>
          <w:sz w:val="24"/>
        </w:rPr>
        <w:t xml:space="preserve"> </w:t>
      </w:r>
      <w:r>
        <w:rPr>
          <w:b/>
          <w:color w:val="2E5C7C"/>
          <w:sz w:val="24"/>
        </w:rPr>
        <w:t>of</w:t>
      </w:r>
      <w:r>
        <w:rPr>
          <w:b/>
          <w:color w:val="2E5C7C"/>
          <w:spacing w:val="9"/>
          <w:sz w:val="24"/>
        </w:rPr>
        <w:t xml:space="preserve"> </w:t>
      </w:r>
      <w:r>
        <w:rPr>
          <w:b/>
          <w:color w:val="2E5C7C"/>
          <w:sz w:val="24"/>
        </w:rPr>
        <w:t>Journal</w:t>
      </w:r>
      <w:r>
        <w:rPr>
          <w:b/>
          <w:color w:val="2E5C7C"/>
          <w:spacing w:val="5"/>
          <w:sz w:val="24"/>
        </w:rPr>
        <w:t xml:space="preserve"> </w:t>
      </w:r>
      <w:r>
        <w:rPr>
          <w:b/>
          <w:color w:val="2E5C7C"/>
          <w:sz w:val="24"/>
        </w:rPr>
        <w:t xml:space="preserve">Club:  </w:t>
      </w:r>
      <w:r>
        <w:rPr>
          <w:b/>
          <w:color w:val="2E5C7C"/>
          <w:spacing w:val="38"/>
          <w:sz w:val="24"/>
        </w:rPr>
        <w:t xml:space="preserve"> </w:t>
      </w:r>
      <w:r w:rsidR="00493A6F">
        <w:rPr>
          <w:color w:val="424242"/>
        </w:rPr>
        <w:t>20</w:t>
      </w:r>
      <w:r>
        <w:rPr>
          <w:color w:val="424242"/>
          <w:spacing w:val="2"/>
        </w:rPr>
        <w:t xml:space="preserve"> </w:t>
      </w:r>
      <w:r w:rsidR="00493A6F">
        <w:rPr>
          <w:color w:val="424242"/>
        </w:rPr>
        <w:t>April</w:t>
      </w:r>
      <w:r>
        <w:rPr>
          <w:color w:val="424242"/>
          <w:spacing w:val="1"/>
        </w:rPr>
        <w:t xml:space="preserve"> </w:t>
      </w:r>
      <w:r>
        <w:rPr>
          <w:color w:val="424242"/>
        </w:rPr>
        <w:t>2021</w:t>
      </w:r>
    </w:p>
    <w:p w:rsidR="00BD1C04" w:rsidRDefault="00D56818">
      <w:pPr>
        <w:tabs>
          <w:tab w:val="left" w:pos="5728"/>
        </w:tabs>
        <w:spacing w:before="138"/>
        <w:ind w:left="100"/>
      </w:pPr>
      <w:r>
        <w:rPr>
          <w:b/>
          <w:color w:val="2E5C7C"/>
          <w:sz w:val="24"/>
        </w:rPr>
        <w:t>Resident</w:t>
      </w:r>
      <w:r>
        <w:rPr>
          <w:b/>
          <w:color w:val="2E5C7C"/>
          <w:spacing w:val="14"/>
          <w:sz w:val="24"/>
        </w:rPr>
        <w:t xml:space="preserve"> </w:t>
      </w:r>
      <w:r>
        <w:rPr>
          <w:b/>
          <w:color w:val="2E5C7C"/>
          <w:sz w:val="24"/>
        </w:rPr>
        <w:t>Reviewer</w:t>
      </w:r>
      <w:r>
        <w:rPr>
          <w:b/>
          <w:color w:val="2E5C7C"/>
          <w:spacing w:val="14"/>
          <w:sz w:val="24"/>
        </w:rPr>
        <w:t xml:space="preserve"> </w:t>
      </w:r>
      <w:r>
        <w:rPr>
          <w:b/>
          <w:color w:val="2E5C7C"/>
          <w:sz w:val="24"/>
        </w:rPr>
        <w:t>Name(s)</w:t>
      </w:r>
      <w:r>
        <w:rPr>
          <w:b/>
          <w:color w:val="2E5C7C"/>
          <w:spacing w:val="14"/>
          <w:sz w:val="24"/>
        </w:rPr>
        <w:t xml:space="preserve"> </w:t>
      </w:r>
      <w:r>
        <w:rPr>
          <w:b/>
          <w:color w:val="2E5C7C"/>
          <w:sz w:val="24"/>
        </w:rPr>
        <w:t>and</w:t>
      </w:r>
      <w:r>
        <w:rPr>
          <w:b/>
          <w:color w:val="2E5C7C"/>
          <w:spacing w:val="14"/>
          <w:sz w:val="24"/>
        </w:rPr>
        <w:t xml:space="preserve"> </w:t>
      </w:r>
      <w:r>
        <w:rPr>
          <w:b/>
          <w:color w:val="2E5C7C"/>
          <w:sz w:val="24"/>
        </w:rPr>
        <w:t>Residency</w:t>
      </w:r>
      <w:r>
        <w:rPr>
          <w:b/>
          <w:color w:val="2E5C7C"/>
          <w:spacing w:val="-6"/>
          <w:sz w:val="24"/>
        </w:rPr>
        <w:t xml:space="preserve"> </w:t>
      </w:r>
      <w:r>
        <w:rPr>
          <w:b/>
          <w:color w:val="2E5C7C"/>
          <w:sz w:val="24"/>
        </w:rPr>
        <w:t>Afﬁliation:</w:t>
      </w:r>
      <w:r>
        <w:rPr>
          <w:b/>
          <w:color w:val="2E5C7C"/>
          <w:sz w:val="24"/>
        </w:rPr>
        <w:tab/>
      </w:r>
      <w:r>
        <w:rPr>
          <w:color w:val="424242"/>
        </w:rPr>
        <w:t>Dr</w:t>
      </w:r>
      <w:r>
        <w:rPr>
          <w:color w:val="424242"/>
          <w:spacing w:val="-5"/>
        </w:rPr>
        <w:t xml:space="preserve"> </w:t>
      </w:r>
      <w:r w:rsidR="00493A6F">
        <w:rPr>
          <w:color w:val="424242"/>
        </w:rPr>
        <w:t>Jeremy Christensen</w:t>
      </w:r>
      <w:r>
        <w:rPr>
          <w:color w:val="424242"/>
        </w:rPr>
        <w:t>,</w:t>
      </w:r>
      <w:r>
        <w:rPr>
          <w:color w:val="424242"/>
          <w:spacing w:val="-5"/>
        </w:rPr>
        <w:t xml:space="preserve"> </w:t>
      </w:r>
      <w:r>
        <w:rPr>
          <w:color w:val="424242"/>
        </w:rPr>
        <w:t>PGY3</w:t>
      </w:r>
      <w:r>
        <w:rPr>
          <w:color w:val="424242"/>
          <w:spacing w:val="-5"/>
        </w:rPr>
        <w:t xml:space="preserve"> </w:t>
      </w:r>
      <w:r>
        <w:rPr>
          <w:color w:val="424242"/>
        </w:rPr>
        <w:t>EM</w:t>
      </w:r>
    </w:p>
    <w:p w:rsidR="00BD1C04" w:rsidRDefault="00D56818">
      <w:pPr>
        <w:spacing w:before="137"/>
        <w:ind w:left="100"/>
      </w:pPr>
      <w:r>
        <w:rPr>
          <w:noProof/>
        </w:rPr>
        <w:drawing>
          <wp:anchor distT="0" distB="0" distL="0" distR="0" simplePos="0" relativeHeight="15728640" behindDoc="0" locked="0" layoutInCell="1" allowOverlap="1" wp14:anchorId="29A283E8" wp14:editId="5AAB3738">
            <wp:simplePos x="0" y="0"/>
            <wp:positionH relativeFrom="page">
              <wp:posOffset>1028700</wp:posOffset>
            </wp:positionH>
            <wp:positionV relativeFrom="paragraph">
              <wp:posOffset>569439</wp:posOffset>
            </wp:positionV>
            <wp:extent cx="6534150" cy="95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534150" cy="9525"/>
                    </a:xfrm>
                    <a:prstGeom prst="rect">
                      <a:avLst/>
                    </a:prstGeom>
                  </pic:spPr>
                </pic:pic>
              </a:graphicData>
            </a:graphic>
          </wp:anchor>
        </w:drawing>
      </w:r>
      <w:r>
        <w:rPr>
          <w:b/>
          <w:color w:val="2E5C7C"/>
          <w:sz w:val="24"/>
        </w:rPr>
        <w:t>Faculty</w:t>
      </w:r>
      <w:r>
        <w:rPr>
          <w:b/>
          <w:color w:val="2E5C7C"/>
          <w:spacing w:val="3"/>
          <w:sz w:val="24"/>
        </w:rPr>
        <w:t xml:space="preserve"> </w:t>
      </w:r>
      <w:r>
        <w:rPr>
          <w:b/>
          <w:color w:val="2E5C7C"/>
          <w:sz w:val="24"/>
        </w:rPr>
        <w:t>Methodology/Bio-statistics</w:t>
      </w:r>
      <w:r>
        <w:rPr>
          <w:b/>
          <w:color w:val="2E5C7C"/>
          <w:spacing w:val="13"/>
          <w:sz w:val="24"/>
        </w:rPr>
        <w:t xml:space="preserve"> </w:t>
      </w:r>
      <w:r>
        <w:rPr>
          <w:b/>
          <w:color w:val="2E5C7C"/>
          <w:sz w:val="24"/>
        </w:rPr>
        <w:t>Resource</w:t>
      </w:r>
      <w:r>
        <w:rPr>
          <w:b/>
          <w:color w:val="2E5C7C"/>
          <w:spacing w:val="13"/>
          <w:sz w:val="24"/>
        </w:rPr>
        <w:t xml:space="preserve"> </w:t>
      </w:r>
      <w:r>
        <w:rPr>
          <w:b/>
          <w:color w:val="2E5C7C"/>
          <w:sz w:val="24"/>
        </w:rPr>
        <w:t>Person:</w:t>
      </w:r>
      <w:r>
        <w:rPr>
          <w:b/>
          <w:color w:val="2E5C7C"/>
          <w:spacing w:val="4"/>
          <w:sz w:val="24"/>
        </w:rPr>
        <w:t xml:space="preserve"> </w:t>
      </w:r>
      <w:r>
        <w:rPr>
          <w:color w:val="424242"/>
        </w:rPr>
        <w:t>Dr</w:t>
      </w:r>
      <w:r>
        <w:rPr>
          <w:color w:val="424242"/>
          <w:spacing w:val="5"/>
        </w:rPr>
        <w:t xml:space="preserve"> </w:t>
      </w:r>
      <w:r w:rsidR="00493A6F">
        <w:rPr>
          <w:color w:val="424242"/>
        </w:rPr>
        <w:t>David Barbic</w:t>
      </w:r>
    </w:p>
    <w:p w:rsidR="00BD1C04" w:rsidRDefault="00BD1C04">
      <w:pPr>
        <w:pStyle w:val="BodyText"/>
        <w:ind w:left="0" w:right="0"/>
        <w:rPr>
          <w:sz w:val="30"/>
        </w:rPr>
      </w:pPr>
    </w:p>
    <w:p w:rsidR="00BD1C04" w:rsidRDefault="00BD1C04">
      <w:pPr>
        <w:pStyle w:val="BodyText"/>
        <w:ind w:left="0" w:right="0"/>
        <w:rPr>
          <w:sz w:val="30"/>
        </w:rPr>
      </w:pPr>
    </w:p>
    <w:p w:rsidR="00BD1C04" w:rsidRDefault="00D56818">
      <w:pPr>
        <w:pStyle w:val="Heading1"/>
        <w:spacing w:before="225"/>
      </w:pPr>
      <w:r>
        <w:rPr>
          <w:color w:val="2E5C7C"/>
        </w:rPr>
        <w:t>Background</w:t>
      </w:r>
      <w:r>
        <w:rPr>
          <w:color w:val="2E5C7C"/>
          <w:spacing w:val="16"/>
        </w:rPr>
        <w:t xml:space="preserve"> </w:t>
      </w:r>
      <w:r>
        <w:rPr>
          <w:color w:val="2E5C7C"/>
        </w:rPr>
        <w:t>and</w:t>
      </w:r>
      <w:r>
        <w:rPr>
          <w:color w:val="2E5C7C"/>
          <w:spacing w:val="16"/>
        </w:rPr>
        <w:t xml:space="preserve"> </w:t>
      </w:r>
      <w:r>
        <w:rPr>
          <w:color w:val="2E5C7C"/>
        </w:rPr>
        <w:t>Study</w:t>
      </w:r>
      <w:r>
        <w:rPr>
          <w:color w:val="2E5C7C"/>
          <w:spacing w:val="2"/>
        </w:rPr>
        <w:t xml:space="preserve"> </w:t>
      </w:r>
      <w:r>
        <w:rPr>
          <w:color w:val="2E5C7C"/>
        </w:rPr>
        <w:t>Objective(s):</w:t>
      </w:r>
    </w:p>
    <w:p w:rsidR="007753CC" w:rsidRDefault="007753CC" w:rsidP="007753CC">
      <w:pPr>
        <w:pStyle w:val="BodyText"/>
        <w:spacing w:before="3"/>
        <w:ind w:left="116" w:right="267"/>
        <w:rPr>
          <w:rFonts w:ascii="Times New Roman" w:eastAsia="Times New Roman" w:hAnsi="Times New Roman" w:cs="Times New Roman"/>
        </w:rPr>
      </w:pPr>
      <w:r>
        <w:rPr>
          <w:color w:val="212121"/>
        </w:rPr>
        <w:t xml:space="preserve">McAlister FA, </w:t>
      </w:r>
      <w:proofErr w:type="spellStart"/>
      <w:r>
        <w:rPr>
          <w:color w:val="212121"/>
        </w:rPr>
        <w:t>Youngson</w:t>
      </w:r>
      <w:proofErr w:type="spellEnd"/>
      <w:r>
        <w:rPr>
          <w:color w:val="212121"/>
        </w:rPr>
        <w:t xml:space="preserve"> E, Rowe BH. Elevated Blood Pressures Are Common in the Emergency</w:t>
      </w:r>
      <w:r>
        <w:rPr>
          <w:color w:val="212121"/>
          <w:spacing w:val="1"/>
        </w:rPr>
        <w:t xml:space="preserve"> </w:t>
      </w:r>
      <w:r>
        <w:rPr>
          <w:color w:val="212121"/>
        </w:rPr>
        <w:t>Department</w:t>
      </w:r>
      <w:r>
        <w:rPr>
          <w:color w:val="212121"/>
          <w:spacing w:val="-3"/>
        </w:rPr>
        <w:t xml:space="preserve"> </w:t>
      </w:r>
      <w:r>
        <w:rPr>
          <w:color w:val="212121"/>
        </w:rPr>
        <w:t>but</w:t>
      </w:r>
      <w:r>
        <w:rPr>
          <w:color w:val="212121"/>
          <w:spacing w:val="-2"/>
        </w:rPr>
        <w:t xml:space="preserve"> </w:t>
      </w:r>
      <w:r>
        <w:rPr>
          <w:color w:val="212121"/>
        </w:rPr>
        <w:t>Are</w:t>
      </w:r>
      <w:r>
        <w:rPr>
          <w:color w:val="212121"/>
          <w:spacing w:val="-2"/>
        </w:rPr>
        <w:t xml:space="preserve"> </w:t>
      </w:r>
      <w:r>
        <w:rPr>
          <w:color w:val="212121"/>
        </w:rPr>
        <w:t>They</w:t>
      </w:r>
      <w:r>
        <w:rPr>
          <w:color w:val="212121"/>
          <w:spacing w:val="-1"/>
        </w:rPr>
        <w:t xml:space="preserve"> </w:t>
      </w:r>
      <w:r>
        <w:rPr>
          <w:color w:val="212121"/>
        </w:rPr>
        <w:t>Important?</w:t>
      </w:r>
      <w:r>
        <w:rPr>
          <w:color w:val="212121"/>
          <w:spacing w:val="-2"/>
        </w:rPr>
        <w:t xml:space="preserve"> </w:t>
      </w:r>
      <w:r>
        <w:rPr>
          <w:color w:val="212121"/>
        </w:rPr>
        <w:t>A</w:t>
      </w:r>
      <w:r>
        <w:rPr>
          <w:color w:val="212121"/>
          <w:spacing w:val="-1"/>
        </w:rPr>
        <w:t xml:space="preserve"> </w:t>
      </w:r>
      <w:r>
        <w:rPr>
          <w:color w:val="212121"/>
        </w:rPr>
        <w:t>Retrospective</w:t>
      </w:r>
      <w:r>
        <w:rPr>
          <w:color w:val="212121"/>
          <w:spacing w:val="-2"/>
        </w:rPr>
        <w:t xml:space="preserve"> </w:t>
      </w:r>
      <w:r>
        <w:rPr>
          <w:color w:val="212121"/>
        </w:rPr>
        <w:t>Cohort</w:t>
      </w:r>
      <w:r>
        <w:rPr>
          <w:color w:val="212121"/>
          <w:spacing w:val="-2"/>
        </w:rPr>
        <w:t xml:space="preserve"> </w:t>
      </w:r>
      <w:r>
        <w:rPr>
          <w:color w:val="212121"/>
        </w:rPr>
        <w:t>Study</w:t>
      </w:r>
      <w:r>
        <w:rPr>
          <w:color w:val="212121"/>
          <w:spacing w:val="-1"/>
        </w:rPr>
        <w:t xml:space="preserve"> </w:t>
      </w:r>
      <w:r>
        <w:rPr>
          <w:color w:val="212121"/>
        </w:rPr>
        <w:t>of</w:t>
      </w:r>
      <w:r>
        <w:rPr>
          <w:color w:val="212121"/>
          <w:spacing w:val="-1"/>
        </w:rPr>
        <w:t xml:space="preserve"> </w:t>
      </w:r>
      <w:r>
        <w:rPr>
          <w:color w:val="212121"/>
        </w:rPr>
        <w:t>30,278</w:t>
      </w:r>
      <w:r>
        <w:rPr>
          <w:color w:val="212121"/>
          <w:spacing w:val="-1"/>
        </w:rPr>
        <w:t xml:space="preserve"> </w:t>
      </w:r>
      <w:r>
        <w:rPr>
          <w:color w:val="212121"/>
        </w:rPr>
        <w:t>Adults.</w:t>
      </w:r>
      <w:r>
        <w:rPr>
          <w:color w:val="212121"/>
          <w:spacing w:val="-1"/>
        </w:rPr>
        <w:t xml:space="preserve"> </w:t>
      </w:r>
      <w:r>
        <w:rPr>
          <w:color w:val="212121"/>
        </w:rPr>
        <w:t>Ann</w:t>
      </w:r>
      <w:r>
        <w:rPr>
          <w:color w:val="212121"/>
          <w:spacing w:val="-1"/>
        </w:rPr>
        <w:t xml:space="preserve"> </w:t>
      </w:r>
      <w:proofErr w:type="spellStart"/>
      <w:r>
        <w:rPr>
          <w:color w:val="212121"/>
        </w:rPr>
        <w:t>Emerg</w:t>
      </w:r>
      <w:proofErr w:type="spellEnd"/>
      <w:r>
        <w:rPr>
          <w:color w:val="212121"/>
          <w:spacing w:val="-1"/>
        </w:rPr>
        <w:t xml:space="preserve"> </w:t>
      </w:r>
      <w:r>
        <w:rPr>
          <w:color w:val="212121"/>
        </w:rPr>
        <w:t>Med.</w:t>
      </w:r>
      <w:r>
        <w:rPr>
          <w:color w:val="212121"/>
          <w:spacing w:val="-57"/>
        </w:rPr>
        <w:t xml:space="preserve"> </w:t>
      </w:r>
      <w:r>
        <w:rPr>
          <w:color w:val="212121"/>
        </w:rPr>
        <w:t>2021</w:t>
      </w:r>
      <w:r>
        <w:rPr>
          <w:color w:val="212121"/>
          <w:spacing w:val="-1"/>
        </w:rPr>
        <w:t xml:space="preserve"> </w:t>
      </w:r>
      <w:r>
        <w:rPr>
          <w:color w:val="212121"/>
        </w:rPr>
        <w:t xml:space="preserve">Apr;77(4):425-432. </w:t>
      </w:r>
      <w:proofErr w:type="spellStart"/>
      <w:r>
        <w:rPr>
          <w:color w:val="212121"/>
        </w:rPr>
        <w:t>doi</w:t>
      </w:r>
      <w:proofErr w:type="spellEnd"/>
      <w:r>
        <w:rPr>
          <w:color w:val="212121"/>
        </w:rPr>
        <w:t>:</w:t>
      </w:r>
      <w:r>
        <w:rPr>
          <w:color w:val="212121"/>
          <w:spacing w:val="-1"/>
        </w:rPr>
        <w:t xml:space="preserve"> </w:t>
      </w:r>
      <w:r>
        <w:rPr>
          <w:color w:val="212121"/>
        </w:rPr>
        <w:t xml:space="preserve">10.1016/j.annemergmed.2020.11.005. </w:t>
      </w:r>
      <w:proofErr w:type="spellStart"/>
      <w:r>
        <w:rPr>
          <w:color w:val="212121"/>
        </w:rPr>
        <w:t>Epub</w:t>
      </w:r>
      <w:proofErr w:type="spellEnd"/>
      <w:r>
        <w:rPr>
          <w:color w:val="212121"/>
          <w:spacing w:val="-1"/>
        </w:rPr>
        <w:t xml:space="preserve"> </w:t>
      </w:r>
      <w:r>
        <w:rPr>
          <w:color w:val="212121"/>
        </w:rPr>
        <w:t>2021 Feb</w:t>
      </w:r>
      <w:r>
        <w:rPr>
          <w:color w:val="212121"/>
          <w:spacing w:val="-1"/>
        </w:rPr>
        <w:t xml:space="preserve"> </w:t>
      </w:r>
      <w:r>
        <w:rPr>
          <w:color w:val="212121"/>
        </w:rPr>
        <w:t>10. PMID:</w:t>
      </w:r>
    </w:p>
    <w:p w:rsidR="007753CC" w:rsidRDefault="007753CC" w:rsidP="007753CC">
      <w:pPr>
        <w:pStyle w:val="BodyText"/>
        <w:spacing w:line="274" w:lineRule="exact"/>
        <w:ind w:left="116"/>
        <w:rPr>
          <w:color w:val="212121"/>
        </w:rPr>
      </w:pPr>
      <w:r>
        <w:rPr>
          <w:color w:val="212121"/>
        </w:rPr>
        <w:t>33579586.</w:t>
      </w:r>
    </w:p>
    <w:p w:rsidR="007753CC" w:rsidRDefault="007753CC" w:rsidP="007753CC">
      <w:pPr>
        <w:pStyle w:val="BodyText"/>
        <w:spacing w:line="274" w:lineRule="exact"/>
        <w:ind w:left="116"/>
      </w:pPr>
    </w:p>
    <w:p w:rsidR="007753CC" w:rsidRPr="007753CC" w:rsidRDefault="007753CC" w:rsidP="007753CC">
      <w:pPr>
        <w:pStyle w:val="Heading1"/>
        <w:spacing w:line="275" w:lineRule="exact"/>
        <w:rPr>
          <w:rFonts w:ascii="Times New Roman" w:eastAsia="Times New Roman" w:hAnsi="Times New Roman" w:cs="Times New Roman"/>
          <w:color w:val="1F497D" w:themeColor="text2"/>
        </w:rPr>
      </w:pPr>
      <w:r w:rsidRPr="007753CC">
        <w:rPr>
          <w:color w:val="1F497D" w:themeColor="text2"/>
        </w:rPr>
        <w:t>Study</w:t>
      </w:r>
      <w:r w:rsidRPr="007753CC">
        <w:rPr>
          <w:color w:val="1F497D" w:themeColor="text2"/>
          <w:spacing w:val="-4"/>
        </w:rPr>
        <w:t xml:space="preserve"> </w:t>
      </w:r>
      <w:r w:rsidRPr="007753CC">
        <w:rPr>
          <w:color w:val="1F497D" w:themeColor="text2"/>
        </w:rPr>
        <w:t>Objectives</w:t>
      </w:r>
    </w:p>
    <w:p w:rsidR="007753CC" w:rsidRPr="007753CC" w:rsidRDefault="007753CC" w:rsidP="007753CC">
      <w:pPr>
        <w:pStyle w:val="BodyText"/>
        <w:spacing w:line="275" w:lineRule="exact"/>
        <w:ind w:left="116"/>
      </w:pPr>
      <w:r w:rsidRPr="007753CC">
        <w:t>To</w:t>
      </w:r>
      <w:r w:rsidRPr="007753CC">
        <w:rPr>
          <w:spacing w:val="-2"/>
        </w:rPr>
        <w:t xml:space="preserve"> </w:t>
      </w:r>
      <w:r w:rsidRPr="007753CC">
        <w:t>determine</w:t>
      </w:r>
      <w:r w:rsidRPr="007753CC">
        <w:rPr>
          <w:spacing w:val="-2"/>
        </w:rPr>
        <w:t xml:space="preserve"> </w:t>
      </w:r>
      <w:r w:rsidRPr="007753CC">
        <w:t>the:</w:t>
      </w:r>
    </w:p>
    <w:p w:rsidR="007753CC" w:rsidRPr="007753CC" w:rsidRDefault="007753CC" w:rsidP="007753CC">
      <w:pPr>
        <w:pStyle w:val="ListParagraph"/>
        <w:numPr>
          <w:ilvl w:val="0"/>
          <w:numId w:val="1"/>
        </w:numPr>
        <w:tabs>
          <w:tab w:val="left" w:pos="837"/>
        </w:tabs>
        <w:spacing w:before="2" w:line="275" w:lineRule="exact"/>
        <w:ind w:hanging="361"/>
      </w:pPr>
      <w:r w:rsidRPr="007753CC">
        <w:t>Frequency</w:t>
      </w:r>
      <w:r w:rsidRPr="007753CC">
        <w:rPr>
          <w:spacing w:val="-1"/>
        </w:rPr>
        <w:t xml:space="preserve"> </w:t>
      </w:r>
      <w:r w:rsidRPr="007753CC">
        <w:t>of</w:t>
      </w:r>
      <w:r w:rsidRPr="007753CC">
        <w:rPr>
          <w:spacing w:val="-1"/>
        </w:rPr>
        <w:t xml:space="preserve"> </w:t>
      </w:r>
      <w:r w:rsidRPr="007753CC">
        <w:t>elevated</w:t>
      </w:r>
      <w:r w:rsidRPr="007753CC">
        <w:rPr>
          <w:spacing w:val="-1"/>
        </w:rPr>
        <w:t xml:space="preserve"> </w:t>
      </w:r>
      <w:r w:rsidRPr="007753CC">
        <w:t>BP in</w:t>
      </w:r>
      <w:r w:rsidRPr="007753CC">
        <w:rPr>
          <w:spacing w:val="-1"/>
        </w:rPr>
        <w:t xml:space="preserve"> </w:t>
      </w:r>
      <w:r w:rsidRPr="007753CC">
        <w:t>the</w:t>
      </w:r>
      <w:r w:rsidRPr="007753CC">
        <w:rPr>
          <w:spacing w:val="-1"/>
        </w:rPr>
        <w:t xml:space="preserve"> </w:t>
      </w:r>
      <w:r w:rsidRPr="007753CC">
        <w:t>ED</w:t>
      </w:r>
    </w:p>
    <w:p w:rsidR="007753CC" w:rsidRPr="007753CC" w:rsidRDefault="007753CC" w:rsidP="007753CC">
      <w:pPr>
        <w:pStyle w:val="ListParagraph"/>
        <w:numPr>
          <w:ilvl w:val="0"/>
          <w:numId w:val="1"/>
        </w:numPr>
        <w:tabs>
          <w:tab w:val="left" w:pos="837"/>
        </w:tabs>
        <w:spacing w:line="275" w:lineRule="exact"/>
        <w:ind w:hanging="361"/>
      </w:pPr>
      <w:r w:rsidRPr="007753CC">
        <w:t>Proportion</w:t>
      </w:r>
      <w:r w:rsidRPr="007753CC">
        <w:rPr>
          <w:spacing w:val="-1"/>
        </w:rPr>
        <w:t xml:space="preserve"> </w:t>
      </w:r>
      <w:r w:rsidRPr="007753CC">
        <w:t>with</w:t>
      </w:r>
      <w:r w:rsidRPr="007753CC">
        <w:rPr>
          <w:spacing w:val="-1"/>
        </w:rPr>
        <w:t xml:space="preserve"> </w:t>
      </w:r>
      <w:r w:rsidRPr="007753CC">
        <w:t>prior</w:t>
      </w:r>
      <w:r w:rsidRPr="007753CC">
        <w:rPr>
          <w:spacing w:val="-1"/>
        </w:rPr>
        <w:t xml:space="preserve"> </w:t>
      </w:r>
      <w:r w:rsidRPr="007753CC">
        <w:t>or subsequent</w:t>
      </w:r>
      <w:r w:rsidRPr="007753CC">
        <w:rPr>
          <w:spacing w:val="-2"/>
        </w:rPr>
        <w:t xml:space="preserve"> </w:t>
      </w:r>
      <w:r w:rsidRPr="007753CC">
        <w:t>HTN</w:t>
      </w:r>
      <w:r w:rsidRPr="007753CC">
        <w:rPr>
          <w:spacing w:val="-1"/>
        </w:rPr>
        <w:t xml:space="preserve"> </w:t>
      </w:r>
      <w:r w:rsidRPr="007753CC">
        <w:t>diagnosis in</w:t>
      </w:r>
      <w:r w:rsidRPr="007753CC">
        <w:rPr>
          <w:spacing w:val="-1"/>
        </w:rPr>
        <w:t xml:space="preserve"> </w:t>
      </w:r>
      <w:r w:rsidRPr="007753CC">
        <w:t>other</w:t>
      </w:r>
      <w:r w:rsidRPr="007753CC">
        <w:rPr>
          <w:spacing w:val="-1"/>
        </w:rPr>
        <w:t xml:space="preserve"> </w:t>
      </w:r>
      <w:r w:rsidRPr="007753CC">
        <w:t>settings</w:t>
      </w:r>
    </w:p>
    <w:p w:rsidR="007753CC" w:rsidRPr="007753CC" w:rsidRDefault="007753CC" w:rsidP="007753CC">
      <w:pPr>
        <w:pStyle w:val="ListParagraph"/>
        <w:numPr>
          <w:ilvl w:val="0"/>
          <w:numId w:val="1"/>
        </w:numPr>
        <w:tabs>
          <w:tab w:val="left" w:pos="837"/>
        </w:tabs>
        <w:spacing w:before="5" w:line="235" w:lineRule="auto"/>
        <w:ind w:right="838"/>
      </w:pPr>
      <w:r w:rsidRPr="007753CC">
        <w:t>Association between ED BP levels and cardiovascular events (</w:t>
      </w:r>
      <w:r w:rsidRPr="007753CC">
        <w:rPr>
          <w:color w:val="212121"/>
        </w:rPr>
        <w:t>stroke, transient ischemic attack,</w:t>
      </w:r>
      <w:r w:rsidRPr="007753CC">
        <w:rPr>
          <w:color w:val="212121"/>
          <w:spacing w:val="-58"/>
        </w:rPr>
        <w:t xml:space="preserve"> </w:t>
      </w:r>
      <w:r w:rsidRPr="007753CC">
        <w:rPr>
          <w:color w:val="212121"/>
        </w:rPr>
        <w:t>acute</w:t>
      </w:r>
      <w:r w:rsidRPr="007753CC">
        <w:rPr>
          <w:color w:val="212121"/>
          <w:spacing w:val="-2"/>
        </w:rPr>
        <w:t xml:space="preserve"> </w:t>
      </w:r>
      <w:r w:rsidRPr="007753CC">
        <w:rPr>
          <w:color w:val="212121"/>
        </w:rPr>
        <w:t>coronary syndrome,</w:t>
      </w:r>
      <w:r w:rsidRPr="007753CC">
        <w:rPr>
          <w:color w:val="212121"/>
          <w:spacing w:val="-1"/>
        </w:rPr>
        <w:t xml:space="preserve"> </w:t>
      </w:r>
      <w:r w:rsidRPr="007753CC">
        <w:rPr>
          <w:color w:val="212121"/>
        </w:rPr>
        <w:t>heart</w:t>
      </w:r>
      <w:r w:rsidRPr="007753CC">
        <w:rPr>
          <w:color w:val="212121"/>
          <w:spacing w:val="-1"/>
        </w:rPr>
        <w:t xml:space="preserve"> </w:t>
      </w:r>
      <w:r w:rsidRPr="007753CC">
        <w:rPr>
          <w:color w:val="212121"/>
        </w:rPr>
        <w:t>failure, or</w:t>
      </w:r>
      <w:r w:rsidRPr="007753CC">
        <w:rPr>
          <w:color w:val="212121"/>
          <w:spacing w:val="-1"/>
        </w:rPr>
        <w:t xml:space="preserve"> </w:t>
      </w:r>
      <w:r w:rsidRPr="007753CC">
        <w:rPr>
          <w:color w:val="212121"/>
        </w:rPr>
        <w:t>death</w:t>
      </w:r>
      <w:r w:rsidRPr="007753CC">
        <w:t>) 2 years</w:t>
      </w:r>
      <w:r w:rsidRPr="007753CC">
        <w:rPr>
          <w:spacing w:val="-1"/>
        </w:rPr>
        <w:t xml:space="preserve"> </w:t>
      </w:r>
      <w:r w:rsidRPr="007753CC">
        <w:t>post discharge</w:t>
      </w:r>
    </w:p>
    <w:p w:rsidR="00BD1C04" w:rsidRDefault="00BD1C04">
      <w:pPr>
        <w:pStyle w:val="BodyText"/>
        <w:spacing w:before="7"/>
        <w:ind w:left="0" w:right="0"/>
        <w:rPr>
          <w:sz w:val="20"/>
        </w:rPr>
      </w:pPr>
    </w:p>
    <w:p w:rsidR="00BD1C04" w:rsidRDefault="00D56818">
      <w:pPr>
        <w:pStyle w:val="Heading1"/>
      </w:pPr>
      <w:r>
        <w:rPr>
          <w:color w:val="2E5C7C"/>
          <w:w w:val="105"/>
        </w:rPr>
        <w:t>Study</w:t>
      </w:r>
      <w:r>
        <w:rPr>
          <w:color w:val="2E5C7C"/>
          <w:spacing w:val="-9"/>
          <w:w w:val="105"/>
        </w:rPr>
        <w:t xml:space="preserve"> </w:t>
      </w:r>
      <w:r>
        <w:rPr>
          <w:color w:val="2E5C7C"/>
          <w:w w:val="105"/>
        </w:rPr>
        <w:t>Design:</w:t>
      </w:r>
    </w:p>
    <w:p w:rsidR="007753CC" w:rsidRDefault="007753CC" w:rsidP="007753CC">
      <w:pPr>
        <w:pStyle w:val="BodyText"/>
        <w:spacing w:before="3"/>
        <w:ind w:left="116" w:right="712"/>
        <w:rPr>
          <w:rFonts w:ascii="Times New Roman" w:eastAsia="Times New Roman" w:hAnsi="Times New Roman" w:cs="Times New Roman"/>
        </w:rPr>
      </w:pPr>
      <w:r>
        <w:t xml:space="preserve">Retrospective cohort study from the University of Alberta Hospital ED in 2016. All Alberta residents </w:t>
      </w:r>
      <w:r>
        <w:rPr>
          <w:rFonts w:ascii="Cambria Math" w:hAnsi="Cambria Math"/>
        </w:rPr>
        <w:t xml:space="preserve">≥ </w:t>
      </w:r>
      <w:r>
        <w:t xml:space="preserve">18 </w:t>
      </w:r>
      <w:proofErr w:type="gramStart"/>
      <w:r>
        <w:t>without</w:t>
      </w:r>
      <w:r>
        <w:rPr>
          <w:spacing w:val="-57"/>
        </w:rPr>
        <w:t xml:space="preserve"> </w:t>
      </w:r>
      <w:r>
        <w:t xml:space="preserve"> diagnosis</w:t>
      </w:r>
      <w:proofErr w:type="gramEnd"/>
      <w:r>
        <w:t xml:space="preserve"> of stroke, cerebral contusion, intracranial hemorrhage, and anaphylaxis were included; patients who left AMA, were admitted or transferred, or died, were excluded. Patients were stratified into categories based upon bp &lt; 140 / 90, 140 -159 / 90 – 99; 160 – 179 / 100 – 109; &gt; 180 / 110. All outpatient claims in the 2 years before and 2 years after the index visit were ascertained; the </w:t>
      </w:r>
      <w:proofErr w:type="spellStart"/>
      <w:r>
        <w:t>Charlson</w:t>
      </w:r>
      <w:proofErr w:type="spellEnd"/>
      <w:r>
        <w:t xml:space="preserve"> score was obtained. All outpatient prescriptions obtained from the provincial database. </w:t>
      </w:r>
    </w:p>
    <w:p w:rsidR="007753CC" w:rsidRDefault="007753CC" w:rsidP="007753CC">
      <w:pPr>
        <w:pStyle w:val="BodyText"/>
        <w:spacing w:before="3"/>
        <w:ind w:left="116" w:right="712"/>
      </w:pPr>
    </w:p>
    <w:p w:rsidR="007753CC" w:rsidRDefault="007753CC" w:rsidP="007753CC">
      <w:pPr>
        <w:pStyle w:val="BodyText"/>
        <w:spacing w:before="3"/>
        <w:ind w:left="116" w:right="712"/>
      </w:pPr>
      <w:r>
        <w:t xml:space="preserve">The primary outcome included the composite of hospitalization for stroke, TIA, HF, ACS, or death. Crude outcomes were stratified by prior HTN diagnosis and bp levels, and various bp levels (above) were compared. Confounders including age, sex, and prior cardiovascular diagnoses were used for adjustment. </w:t>
      </w:r>
    </w:p>
    <w:p w:rsidR="00BD1C04" w:rsidRDefault="00BD1C04">
      <w:pPr>
        <w:pStyle w:val="BodyText"/>
        <w:ind w:left="0" w:right="0"/>
        <w:rPr>
          <w:sz w:val="24"/>
        </w:rPr>
      </w:pPr>
    </w:p>
    <w:p w:rsidR="007753CC" w:rsidRDefault="007753CC">
      <w:pPr>
        <w:pStyle w:val="BodyText"/>
        <w:ind w:left="0" w:right="0"/>
        <w:rPr>
          <w:sz w:val="24"/>
        </w:rPr>
      </w:pPr>
    </w:p>
    <w:p w:rsidR="00BD1C04" w:rsidRDefault="00BD1C04">
      <w:pPr>
        <w:pStyle w:val="BodyText"/>
        <w:spacing w:before="7"/>
        <w:ind w:left="0" w:right="0"/>
        <w:rPr>
          <w:sz w:val="18"/>
        </w:rPr>
      </w:pPr>
    </w:p>
    <w:p w:rsidR="00BD1C04" w:rsidRDefault="00D56818">
      <w:pPr>
        <w:pStyle w:val="Heading1"/>
      </w:pPr>
      <w:r>
        <w:rPr>
          <w:color w:val="2E5C7C"/>
          <w:w w:val="105"/>
        </w:rPr>
        <w:t>Results:</w:t>
      </w:r>
    </w:p>
    <w:p w:rsidR="00BD1C04" w:rsidRDefault="007753CC" w:rsidP="007753CC">
      <w:pPr>
        <w:pStyle w:val="BodyText"/>
        <w:spacing w:before="44"/>
      </w:pPr>
      <w:r>
        <w:t>Overall, 68 761 patients assessed; 30 278 treated and discharged from the ED; 14 717 had an elevated bp; (of those 10 732 had no prior diagnosis of HTN. Patients with elevated bp were older, more likely to be men, more likely to have a lower CTAS score, and more likely to have cardiovascular comorbidities. Those with the highest blood pressures were the oldest and had the most comorbidities. Emergency physicians prescribed antihypertensives infrequently. After adjustment, patients with elevated bp were no more likely to have a composite outcome in the next year or two years. (adjusted hazard ratio 0.84, 95% CI 0.71 to 1.004 over 2 years)</w:t>
      </w:r>
    </w:p>
    <w:p w:rsidR="007753CC" w:rsidRDefault="007753CC">
      <w:pPr>
        <w:pStyle w:val="BodyText"/>
        <w:spacing w:before="44"/>
        <w:ind w:firstLine="720"/>
      </w:pPr>
    </w:p>
    <w:p w:rsidR="007753CC" w:rsidRPr="007753CC" w:rsidRDefault="007753CC" w:rsidP="007753CC">
      <w:pPr>
        <w:pStyle w:val="Heading1"/>
        <w:spacing w:line="275" w:lineRule="exact"/>
        <w:ind w:left="0"/>
        <w:rPr>
          <w:rFonts w:ascii="Times New Roman" w:eastAsia="Times New Roman" w:hAnsi="Times New Roman" w:cs="Times New Roman"/>
          <w:color w:val="1F497D" w:themeColor="text2"/>
        </w:rPr>
      </w:pPr>
      <w:r w:rsidRPr="007753CC">
        <w:rPr>
          <w:color w:val="1F497D" w:themeColor="text2"/>
        </w:rPr>
        <w:t>Validity of Results</w:t>
      </w:r>
    </w:p>
    <w:p w:rsidR="007753CC" w:rsidRPr="007753CC" w:rsidRDefault="007753CC" w:rsidP="007753CC">
      <w:pPr>
        <w:pStyle w:val="Heading1"/>
        <w:spacing w:before="1"/>
        <w:ind w:left="0"/>
        <w:rPr>
          <w:b w:val="0"/>
          <w:bCs w:val="0"/>
          <w:sz w:val="22"/>
          <w:szCs w:val="22"/>
        </w:rPr>
      </w:pPr>
      <w:r w:rsidRPr="007753CC">
        <w:rPr>
          <w:b w:val="0"/>
          <w:bCs w:val="0"/>
          <w:sz w:val="22"/>
          <w:szCs w:val="22"/>
        </w:rPr>
        <w:t xml:space="preserve">This study addressed several focused clinical questions with clear objective outcomes. Measurements were only obtained at triage and it is possible that patients were misclassified. All linked database analyses are limited by fidelity of data linkages. There was no adjustment for medication prescription or adherence, or lifestyle modification when estimating the adjusted outcomes, even though medication adherence is a key factor in ameliorating adverse cardiovascular events. Outcomes were censored at 2 years and longer-term outcomes cannot be estimated. There were no conflicts of interest. </w:t>
      </w:r>
    </w:p>
    <w:p w:rsidR="00BD1C04" w:rsidRDefault="00BD1C04">
      <w:pPr>
        <w:pStyle w:val="BodyText"/>
        <w:ind w:left="0" w:right="0"/>
      </w:pPr>
    </w:p>
    <w:p w:rsidR="00BD1C04" w:rsidRDefault="00D56818" w:rsidP="007753CC">
      <w:pPr>
        <w:pStyle w:val="Heading1"/>
        <w:ind w:left="0"/>
      </w:pPr>
      <w:r>
        <w:rPr>
          <w:color w:val="2E5C7C"/>
          <w:spacing w:val="-1"/>
          <w:w w:val="105"/>
        </w:rPr>
        <w:t>Generalizability</w:t>
      </w:r>
      <w:r>
        <w:rPr>
          <w:color w:val="2E5C7C"/>
          <w:spacing w:val="-13"/>
          <w:w w:val="105"/>
        </w:rPr>
        <w:t xml:space="preserve"> </w:t>
      </w:r>
      <w:r>
        <w:rPr>
          <w:color w:val="2E5C7C"/>
          <w:w w:val="105"/>
        </w:rPr>
        <w:t>of</w:t>
      </w:r>
      <w:r>
        <w:rPr>
          <w:color w:val="2E5C7C"/>
          <w:spacing w:val="-4"/>
          <w:w w:val="105"/>
        </w:rPr>
        <w:t xml:space="preserve"> </w:t>
      </w:r>
      <w:r>
        <w:rPr>
          <w:color w:val="2E5C7C"/>
          <w:w w:val="105"/>
        </w:rPr>
        <w:t>Results:</w:t>
      </w:r>
    </w:p>
    <w:p w:rsidR="007753CC" w:rsidRDefault="007753CC" w:rsidP="007753CC">
      <w:pPr>
        <w:pStyle w:val="Heading1"/>
        <w:rPr>
          <w:rFonts w:ascii="Times New Roman" w:eastAsia="Times New Roman" w:hAnsi="Times New Roman" w:cs="Times New Roman"/>
        </w:rPr>
      </w:pPr>
      <w:r>
        <w:rPr>
          <w:b w:val="0"/>
          <w:bCs w:val="0"/>
        </w:rPr>
        <w:t xml:space="preserve">While the inclusion criteria are broad and clinically relevant, results are from a single Canadian urban ED. Availability and intensity of follow-up may not apply in all settings. </w:t>
      </w:r>
    </w:p>
    <w:p w:rsidR="00BD1C04" w:rsidRDefault="00BD1C04">
      <w:pPr>
        <w:pStyle w:val="BodyText"/>
        <w:ind w:left="0" w:right="0"/>
      </w:pPr>
    </w:p>
    <w:p w:rsidR="00BD1C04" w:rsidRDefault="00D56818" w:rsidP="007753CC">
      <w:pPr>
        <w:pStyle w:val="Heading1"/>
        <w:ind w:left="0"/>
        <w:jc w:val="both"/>
        <w:rPr>
          <w:color w:val="2E5C7C"/>
          <w:w w:val="105"/>
        </w:rPr>
      </w:pPr>
      <w:r>
        <w:rPr>
          <w:color w:val="2E5C7C"/>
          <w:w w:val="105"/>
        </w:rPr>
        <w:t>The</w:t>
      </w:r>
      <w:r>
        <w:rPr>
          <w:color w:val="2E5C7C"/>
          <w:spacing w:val="-2"/>
          <w:w w:val="105"/>
        </w:rPr>
        <w:t xml:space="preserve"> </w:t>
      </w:r>
      <w:r>
        <w:rPr>
          <w:color w:val="2E5C7C"/>
          <w:w w:val="105"/>
        </w:rPr>
        <w:t>Bottom</w:t>
      </w:r>
      <w:r>
        <w:rPr>
          <w:color w:val="2E5C7C"/>
          <w:spacing w:val="-1"/>
          <w:w w:val="105"/>
        </w:rPr>
        <w:t xml:space="preserve"> </w:t>
      </w:r>
      <w:r>
        <w:rPr>
          <w:color w:val="2E5C7C"/>
          <w:w w:val="105"/>
        </w:rPr>
        <w:t>Line:</w:t>
      </w:r>
    </w:p>
    <w:p w:rsidR="007753CC" w:rsidRDefault="007753CC" w:rsidP="007753CC">
      <w:pPr>
        <w:pStyle w:val="BodyText"/>
        <w:spacing w:before="7"/>
        <w:ind w:left="0"/>
        <w:rPr>
          <w:rFonts w:ascii="Times New Roman" w:eastAsia="Times New Roman" w:hAnsi="Times New Roman" w:cs="Times New Roman"/>
          <w:sz w:val="23"/>
        </w:rPr>
      </w:pPr>
      <w:r>
        <w:t xml:space="preserve">In this single center study, elevated blood pressure was noted in nearly half of ED patients, and more common in older patients, men, and those with cardiovascular risk factors, but is not associated with adverse cardiovascular events or death at one or 2 years. This appears to support the practice of conservative management of isolated high blood pressure at the index ED visit. </w:t>
      </w:r>
    </w:p>
    <w:p w:rsidR="007753CC" w:rsidRDefault="007753CC">
      <w:pPr>
        <w:pStyle w:val="Heading1"/>
        <w:jc w:val="both"/>
      </w:pPr>
    </w:p>
    <w:sectPr w:rsidR="007753CC">
      <w:pgSz w:w="11920" w:h="16840"/>
      <w:pgMar w:top="140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46910"/>
    <w:multiLevelType w:val="hybridMultilevel"/>
    <w:tmpl w:val="A3880D76"/>
    <w:lvl w:ilvl="0" w:tplc="B0042056">
      <w:start w:val="1"/>
      <w:numFmt w:val="decimal"/>
      <w:lvlText w:val="%1)"/>
      <w:lvlJc w:val="left"/>
      <w:pPr>
        <w:ind w:left="836" w:hanging="360"/>
      </w:pPr>
      <w:rPr>
        <w:rFonts w:ascii="Times New Roman" w:eastAsia="Times New Roman" w:hAnsi="Times New Roman" w:cs="Times New Roman" w:hint="default"/>
        <w:w w:val="100"/>
        <w:sz w:val="24"/>
        <w:szCs w:val="24"/>
      </w:rPr>
    </w:lvl>
    <w:lvl w:ilvl="1" w:tplc="EA2A0A58">
      <w:numFmt w:val="bullet"/>
      <w:lvlText w:val="•"/>
      <w:lvlJc w:val="left"/>
      <w:pPr>
        <w:ind w:left="1840" w:hanging="360"/>
      </w:pPr>
    </w:lvl>
    <w:lvl w:ilvl="2" w:tplc="47DC4A10">
      <w:numFmt w:val="bullet"/>
      <w:lvlText w:val="•"/>
      <w:lvlJc w:val="left"/>
      <w:pPr>
        <w:ind w:left="2840" w:hanging="360"/>
      </w:pPr>
    </w:lvl>
    <w:lvl w:ilvl="3" w:tplc="A73063DA">
      <w:numFmt w:val="bullet"/>
      <w:lvlText w:val="•"/>
      <w:lvlJc w:val="left"/>
      <w:pPr>
        <w:ind w:left="3840" w:hanging="360"/>
      </w:pPr>
    </w:lvl>
    <w:lvl w:ilvl="4" w:tplc="065C43F4">
      <w:numFmt w:val="bullet"/>
      <w:lvlText w:val="•"/>
      <w:lvlJc w:val="left"/>
      <w:pPr>
        <w:ind w:left="4840" w:hanging="360"/>
      </w:pPr>
    </w:lvl>
    <w:lvl w:ilvl="5" w:tplc="4ED48E92">
      <w:numFmt w:val="bullet"/>
      <w:lvlText w:val="•"/>
      <w:lvlJc w:val="left"/>
      <w:pPr>
        <w:ind w:left="5840" w:hanging="360"/>
      </w:pPr>
    </w:lvl>
    <w:lvl w:ilvl="6" w:tplc="DE5C31A4">
      <w:numFmt w:val="bullet"/>
      <w:lvlText w:val="•"/>
      <w:lvlJc w:val="left"/>
      <w:pPr>
        <w:ind w:left="6840" w:hanging="360"/>
      </w:pPr>
    </w:lvl>
    <w:lvl w:ilvl="7" w:tplc="AEDE049A">
      <w:numFmt w:val="bullet"/>
      <w:lvlText w:val="•"/>
      <w:lvlJc w:val="left"/>
      <w:pPr>
        <w:ind w:left="7840" w:hanging="360"/>
      </w:pPr>
    </w:lvl>
    <w:lvl w:ilvl="8" w:tplc="D4AE9020">
      <w:numFmt w:val="bullet"/>
      <w:lvlText w:val="•"/>
      <w:lvlJc w:val="left"/>
      <w:pPr>
        <w:ind w:left="884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04"/>
    <w:rsid w:val="000F656A"/>
    <w:rsid w:val="001779BB"/>
    <w:rsid w:val="00493A6F"/>
    <w:rsid w:val="007753CC"/>
    <w:rsid w:val="007C2BA1"/>
    <w:rsid w:val="00BD1C04"/>
    <w:rsid w:val="00D56818"/>
    <w:rsid w:val="00F36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BA27"/>
  <w15:docId w15:val="{417C4BBA-B988-9043-9018-6E4683EA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473"/>
    </w:pPr>
  </w:style>
  <w:style w:type="paragraph" w:styleId="Title">
    <w:name w:val="Title"/>
    <w:basedOn w:val="Normal"/>
    <w:uiPriority w:val="10"/>
    <w:qFormat/>
    <w:pPr>
      <w:spacing w:before="131"/>
      <w:ind w:left="2918"/>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7233">
      <w:bodyDiv w:val="1"/>
      <w:marLeft w:val="0"/>
      <w:marRight w:val="0"/>
      <w:marTop w:val="0"/>
      <w:marBottom w:val="0"/>
      <w:divBdr>
        <w:top w:val="none" w:sz="0" w:space="0" w:color="auto"/>
        <w:left w:val="none" w:sz="0" w:space="0" w:color="auto"/>
        <w:bottom w:val="none" w:sz="0" w:space="0" w:color="auto"/>
        <w:right w:val="none" w:sz="0" w:space="0" w:color="auto"/>
      </w:divBdr>
    </w:div>
    <w:div w:id="1222249854">
      <w:bodyDiv w:val="1"/>
      <w:marLeft w:val="0"/>
      <w:marRight w:val="0"/>
      <w:marTop w:val="0"/>
      <w:marBottom w:val="0"/>
      <w:divBdr>
        <w:top w:val="none" w:sz="0" w:space="0" w:color="auto"/>
        <w:left w:val="none" w:sz="0" w:space="0" w:color="auto"/>
        <w:bottom w:val="none" w:sz="0" w:space="0" w:color="auto"/>
        <w:right w:val="none" w:sz="0" w:space="0" w:color="auto"/>
      </w:divBdr>
    </w:div>
    <w:div w:id="1443955382">
      <w:bodyDiv w:val="1"/>
      <w:marLeft w:val="0"/>
      <w:marRight w:val="0"/>
      <w:marTop w:val="0"/>
      <w:marBottom w:val="0"/>
      <w:divBdr>
        <w:top w:val="none" w:sz="0" w:space="0" w:color="auto"/>
        <w:left w:val="none" w:sz="0" w:space="0" w:color="auto"/>
        <w:bottom w:val="none" w:sz="0" w:space="0" w:color="auto"/>
        <w:right w:val="none" w:sz="0" w:space="0" w:color="auto"/>
      </w:divBdr>
    </w:div>
    <w:div w:id="1493522290">
      <w:bodyDiv w:val="1"/>
      <w:marLeft w:val="0"/>
      <w:marRight w:val="0"/>
      <w:marTop w:val="0"/>
      <w:marBottom w:val="0"/>
      <w:divBdr>
        <w:top w:val="none" w:sz="0" w:space="0" w:color="auto"/>
        <w:left w:val="none" w:sz="0" w:space="0" w:color="auto"/>
        <w:bottom w:val="none" w:sz="0" w:space="0" w:color="auto"/>
        <w:right w:val="none" w:sz="0" w:space="0" w:color="auto"/>
      </w:divBdr>
    </w:div>
    <w:div w:id="1836023048">
      <w:bodyDiv w:val="1"/>
      <w:marLeft w:val="0"/>
      <w:marRight w:val="0"/>
      <w:marTop w:val="0"/>
      <w:marBottom w:val="0"/>
      <w:divBdr>
        <w:top w:val="none" w:sz="0" w:space="0" w:color="auto"/>
        <w:left w:val="none" w:sz="0" w:space="0" w:color="auto"/>
        <w:bottom w:val="none" w:sz="0" w:space="0" w:color="auto"/>
        <w:right w:val="none" w:sz="0" w:space="0" w:color="auto"/>
      </w:divBdr>
    </w:div>
    <w:div w:id="1928416379">
      <w:bodyDiv w:val="1"/>
      <w:marLeft w:val="0"/>
      <w:marRight w:val="0"/>
      <w:marTop w:val="0"/>
      <w:marBottom w:val="0"/>
      <w:divBdr>
        <w:top w:val="none" w:sz="0" w:space="0" w:color="auto"/>
        <w:left w:val="none" w:sz="0" w:space="0" w:color="auto"/>
        <w:bottom w:val="none" w:sz="0" w:space="0" w:color="auto"/>
        <w:right w:val="none" w:sz="0" w:space="0" w:color="auto"/>
      </w:divBdr>
    </w:div>
    <w:div w:id="213031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Article Appraisal</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Appraisal</dc:title>
  <dc:creator>Pandya, Mira</dc:creator>
  <cp:lastModifiedBy>Pandya, Mira</cp:lastModifiedBy>
  <cp:revision>3</cp:revision>
  <dcterms:created xsi:type="dcterms:W3CDTF">2021-06-21T16:01:00Z</dcterms:created>
  <dcterms:modified xsi:type="dcterms:W3CDTF">2021-06-21T16:07:00Z</dcterms:modified>
</cp:coreProperties>
</file>