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A051" w14:textId="77777777" w:rsidR="00BD1C04" w:rsidRDefault="00D56818">
      <w:pPr>
        <w:pStyle w:val="BodyText"/>
        <w:ind w:left="130" w:righ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0F424D" wp14:editId="766F5F28">
            <wp:extent cx="1813536" cy="17141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36" cy="171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F3073" w14:textId="77777777" w:rsidR="00BD1C04" w:rsidRDefault="00BD1C04">
      <w:pPr>
        <w:pStyle w:val="BodyText"/>
        <w:spacing w:before="1"/>
        <w:ind w:left="0" w:right="0"/>
        <w:rPr>
          <w:rFonts w:ascii="Times New Roman"/>
          <w:sz w:val="6"/>
        </w:rPr>
      </w:pPr>
    </w:p>
    <w:p w14:paraId="7A626A44" w14:textId="77777777" w:rsidR="00BD1C04" w:rsidRDefault="00D56818">
      <w:pPr>
        <w:pStyle w:val="Title"/>
      </w:pPr>
      <w:r>
        <w:rPr>
          <w:color w:val="2E5C7C"/>
          <w:w w:val="105"/>
        </w:rPr>
        <w:t>Article</w:t>
      </w:r>
      <w:r>
        <w:rPr>
          <w:color w:val="2E5C7C"/>
          <w:spacing w:val="2"/>
          <w:w w:val="105"/>
        </w:rPr>
        <w:t xml:space="preserve"> </w:t>
      </w:r>
      <w:r>
        <w:rPr>
          <w:color w:val="2E5C7C"/>
          <w:w w:val="105"/>
        </w:rPr>
        <w:t>Appraisal</w:t>
      </w:r>
    </w:p>
    <w:p w14:paraId="2C939F47" w14:textId="77777777" w:rsidR="00BD1C04" w:rsidRDefault="00BD1C04">
      <w:pPr>
        <w:pStyle w:val="BodyText"/>
        <w:spacing w:before="2"/>
        <w:ind w:left="0" w:right="0"/>
        <w:rPr>
          <w:sz w:val="72"/>
        </w:rPr>
      </w:pPr>
    </w:p>
    <w:p w14:paraId="365221EA" w14:textId="77777777" w:rsidR="00BD1C04" w:rsidRDefault="00D56818">
      <w:pPr>
        <w:pStyle w:val="BodyText"/>
        <w:spacing w:line="244" w:lineRule="auto"/>
      </w:pPr>
      <w:r>
        <w:rPr>
          <w:b/>
          <w:color w:val="2E5C7C"/>
          <w:sz w:val="24"/>
        </w:rPr>
        <w:t>Article:</w:t>
      </w:r>
      <w:r>
        <w:rPr>
          <w:b/>
          <w:color w:val="2E5C7C"/>
          <w:spacing w:val="-2"/>
          <w:sz w:val="24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Intravenous</w:t>
      </w:r>
      <w:r>
        <w:rPr>
          <w:spacing w:val="-7"/>
        </w:rPr>
        <w:t xml:space="preserve"> </w:t>
      </w:r>
      <w:r>
        <w:t>Radiocontrast</w:t>
      </w:r>
      <w:r>
        <w:rPr>
          <w:spacing w:val="-8"/>
        </w:rPr>
        <w:t xml:space="preserve"> </w:t>
      </w:r>
      <w:proofErr w:type="gramStart"/>
      <w:r>
        <w:t>With</w:t>
      </w:r>
      <w:proofErr w:type="gramEnd"/>
      <w:r>
        <w:rPr>
          <w:spacing w:val="-7"/>
        </w:rPr>
        <w:t xml:space="preserve"> </w:t>
      </w:r>
      <w:r>
        <w:t>Kidney</w:t>
      </w:r>
      <w:r>
        <w:rPr>
          <w:spacing w:val="-7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Regression</w:t>
      </w:r>
      <w:r>
        <w:rPr>
          <w:spacing w:val="-7"/>
        </w:rPr>
        <w:t xml:space="preserve"> </w:t>
      </w:r>
      <w:r>
        <w:t>Discontinuity</w:t>
      </w:r>
      <w:r>
        <w:rPr>
          <w:spacing w:val="1"/>
        </w:rPr>
        <w:t xml:space="preserve"> </w:t>
      </w:r>
      <w:r>
        <w:t>Analysis.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JAMA</w:t>
      </w:r>
      <w:r>
        <w:rPr>
          <w:spacing w:val="-2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Med.</w:t>
      </w:r>
    </w:p>
    <w:p w14:paraId="07EBCD8D" w14:textId="77777777" w:rsidR="00BD1C04" w:rsidRDefault="00D56818">
      <w:pPr>
        <w:spacing w:before="126"/>
        <w:ind w:left="100"/>
      </w:pPr>
      <w:r>
        <w:rPr>
          <w:b/>
          <w:color w:val="2E5C7C"/>
          <w:sz w:val="24"/>
        </w:rPr>
        <w:t>Date</w:t>
      </w:r>
      <w:r>
        <w:rPr>
          <w:b/>
          <w:color w:val="2E5C7C"/>
          <w:spacing w:val="9"/>
          <w:sz w:val="24"/>
        </w:rPr>
        <w:t xml:space="preserve"> </w:t>
      </w:r>
      <w:r>
        <w:rPr>
          <w:b/>
          <w:color w:val="2E5C7C"/>
          <w:sz w:val="24"/>
        </w:rPr>
        <w:t>of</w:t>
      </w:r>
      <w:r>
        <w:rPr>
          <w:b/>
          <w:color w:val="2E5C7C"/>
          <w:spacing w:val="9"/>
          <w:sz w:val="24"/>
        </w:rPr>
        <w:t xml:space="preserve"> </w:t>
      </w:r>
      <w:r>
        <w:rPr>
          <w:b/>
          <w:color w:val="2E5C7C"/>
          <w:sz w:val="24"/>
        </w:rPr>
        <w:t>Journal</w:t>
      </w:r>
      <w:r>
        <w:rPr>
          <w:b/>
          <w:color w:val="2E5C7C"/>
          <w:spacing w:val="5"/>
          <w:sz w:val="24"/>
        </w:rPr>
        <w:t xml:space="preserve"> </w:t>
      </w:r>
      <w:r>
        <w:rPr>
          <w:b/>
          <w:color w:val="2E5C7C"/>
          <w:sz w:val="24"/>
        </w:rPr>
        <w:t xml:space="preserve">Club:  </w:t>
      </w:r>
      <w:r>
        <w:rPr>
          <w:b/>
          <w:color w:val="2E5C7C"/>
          <w:spacing w:val="38"/>
          <w:sz w:val="24"/>
        </w:rPr>
        <w:t xml:space="preserve"> </w:t>
      </w:r>
      <w:r>
        <w:rPr>
          <w:color w:val="424242"/>
        </w:rPr>
        <w:t>18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May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2021</w:t>
      </w:r>
    </w:p>
    <w:p w14:paraId="7C394EE5" w14:textId="77777777" w:rsidR="00BD1C04" w:rsidRDefault="00D56818">
      <w:pPr>
        <w:tabs>
          <w:tab w:val="left" w:pos="5728"/>
        </w:tabs>
        <w:spacing w:before="138"/>
        <w:ind w:left="100"/>
      </w:pPr>
      <w:r>
        <w:rPr>
          <w:b/>
          <w:color w:val="2E5C7C"/>
          <w:sz w:val="24"/>
        </w:rPr>
        <w:t>Resident</w:t>
      </w:r>
      <w:r>
        <w:rPr>
          <w:b/>
          <w:color w:val="2E5C7C"/>
          <w:spacing w:val="14"/>
          <w:sz w:val="24"/>
        </w:rPr>
        <w:t xml:space="preserve"> </w:t>
      </w:r>
      <w:r>
        <w:rPr>
          <w:b/>
          <w:color w:val="2E5C7C"/>
          <w:sz w:val="24"/>
        </w:rPr>
        <w:t>Reviewer</w:t>
      </w:r>
      <w:r>
        <w:rPr>
          <w:b/>
          <w:color w:val="2E5C7C"/>
          <w:spacing w:val="14"/>
          <w:sz w:val="24"/>
        </w:rPr>
        <w:t xml:space="preserve"> </w:t>
      </w:r>
      <w:r>
        <w:rPr>
          <w:b/>
          <w:color w:val="2E5C7C"/>
          <w:sz w:val="24"/>
        </w:rPr>
        <w:t>Name(s)</w:t>
      </w:r>
      <w:r>
        <w:rPr>
          <w:b/>
          <w:color w:val="2E5C7C"/>
          <w:spacing w:val="14"/>
          <w:sz w:val="24"/>
        </w:rPr>
        <w:t xml:space="preserve"> </w:t>
      </w:r>
      <w:r>
        <w:rPr>
          <w:b/>
          <w:color w:val="2E5C7C"/>
          <w:sz w:val="24"/>
        </w:rPr>
        <w:t>and</w:t>
      </w:r>
      <w:r>
        <w:rPr>
          <w:b/>
          <w:color w:val="2E5C7C"/>
          <w:spacing w:val="14"/>
          <w:sz w:val="24"/>
        </w:rPr>
        <w:t xml:space="preserve"> </w:t>
      </w:r>
      <w:r>
        <w:rPr>
          <w:b/>
          <w:color w:val="2E5C7C"/>
          <w:sz w:val="24"/>
        </w:rPr>
        <w:t>Residency</w:t>
      </w:r>
      <w:r>
        <w:rPr>
          <w:b/>
          <w:color w:val="2E5C7C"/>
          <w:spacing w:val="-6"/>
          <w:sz w:val="24"/>
        </w:rPr>
        <w:t xml:space="preserve"> </w:t>
      </w:r>
      <w:r>
        <w:rPr>
          <w:b/>
          <w:color w:val="2E5C7C"/>
          <w:sz w:val="24"/>
        </w:rPr>
        <w:t>Afﬁliation:</w:t>
      </w:r>
      <w:r>
        <w:rPr>
          <w:b/>
          <w:color w:val="2E5C7C"/>
          <w:sz w:val="24"/>
        </w:rPr>
        <w:tab/>
      </w:r>
      <w:r>
        <w:rPr>
          <w:color w:val="424242"/>
        </w:rPr>
        <w:t>Dr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Shayla</w:t>
      </w:r>
      <w:r>
        <w:rPr>
          <w:color w:val="424242"/>
          <w:spacing w:val="-6"/>
        </w:rPr>
        <w:t xml:space="preserve"> </w:t>
      </w:r>
      <w:proofErr w:type="spellStart"/>
      <w:r>
        <w:rPr>
          <w:color w:val="424242"/>
        </w:rPr>
        <w:t>Duley</w:t>
      </w:r>
      <w:proofErr w:type="spellEnd"/>
      <w:r>
        <w:rPr>
          <w:color w:val="424242"/>
        </w:rPr>
        <w:t>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PGY3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EM</w:t>
      </w:r>
    </w:p>
    <w:p w14:paraId="3D949BA1" w14:textId="77777777" w:rsidR="00BD1C04" w:rsidRDefault="00D56818">
      <w:pPr>
        <w:spacing w:before="137"/>
        <w:ind w:left="1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A283E8" wp14:editId="5AAB3738">
            <wp:simplePos x="0" y="0"/>
            <wp:positionH relativeFrom="page">
              <wp:posOffset>1028700</wp:posOffset>
            </wp:positionH>
            <wp:positionV relativeFrom="paragraph">
              <wp:posOffset>569439</wp:posOffset>
            </wp:positionV>
            <wp:extent cx="6534150" cy="9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5C7C"/>
          <w:sz w:val="24"/>
        </w:rPr>
        <w:t>Faculty</w:t>
      </w:r>
      <w:r>
        <w:rPr>
          <w:b/>
          <w:color w:val="2E5C7C"/>
          <w:spacing w:val="3"/>
          <w:sz w:val="24"/>
        </w:rPr>
        <w:t xml:space="preserve"> </w:t>
      </w:r>
      <w:r>
        <w:rPr>
          <w:b/>
          <w:color w:val="2E5C7C"/>
          <w:sz w:val="24"/>
        </w:rPr>
        <w:t>Methodology/Bio-statistics</w:t>
      </w:r>
      <w:r>
        <w:rPr>
          <w:b/>
          <w:color w:val="2E5C7C"/>
          <w:spacing w:val="13"/>
          <w:sz w:val="24"/>
        </w:rPr>
        <w:t xml:space="preserve"> </w:t>
      </w:r>
      <w:r>
        <w:rPr>
          <w:b/>
          <w:color w:val="2E5C7C"/>
          <w:sz w:val="24"/>
        </w:rPr>
        <w:t>Resource</w:t>
      </w:r>
      <w:r>
        <w:rPr>
          <w:b/>
          <w:color w:val="2E5C7C"/>
          <w:spacing w:val="13"/>
          <w:sz w:val="24"/>
        </w:rPr>
        <w:t xml:space="preserve"> </w:t>
      </w:r>
      <w:r>
        <w:rPr>
          <w:b/>
          <w:color w:val="2E5C7C"/>
          <w:sz w:val="24"/>
        </w:rPr>
        <w:t>Person:</w:t>
      </w:r>
      <w:r>
        <w:rPr>
          <w:b/>
          <w:color w:val="2E5C7C"/>
          <w:spacing w:val="4"/>
          <w:sz w:val="24"/>
        </w:rPr>
        <w:t xml:space="preserve"> </w:t>
      </w:r>
      <w:r>
        <w:rPr>
          <w:color w:val="424242"/>
        </w:rPr>
        <w:t>Dr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Jeff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Brubacher</w:t>
      </w:r>
    </w:p>
    <w:p w14:paraId="092353D2" w14:textId="77777777" w:rsidR="00BD1C04" w:rsidRDefault="00BD1C04">
      <w:pPr>
        <w:pStyle w:val="BodyText"/>
        <w:ind w:left="0" w:right="0"/>
        <w:rPr>
          <w:sz w:val="30"/>
        </w:rPr>
      </w:pPr>
    </w:p>
    <w:p w14:paraId="2B535B15" w14:textId="77777777" w:rsidR="00BD1C04" w:rsidRDefault="00BD1C04">
      <w:pPr>
        <w:pStyle w:val="BodyText"/>
        <w:ind w:left="0" w:right="0"/>
        <w:rPr>
          <w:sz w:val="30"/>
        </w:rPr>
      </w:pPr>
    </w:p>
    <w:p w14:paraId="37DA0C85" w14:textId="77777777" w:rsidR="00BD1C04" w:rsidRDefault="00D56818">
      <w:pPr>
        <w:pStyle w:val="Heading1"/>
        <w:spacing w:before="225"/>
      </w:pPr>
      <w:r>
        <w:rPr>
          <w:color w:val="2E5C7C"/>
        </w:rPr>
        <w:t>Background</w:t>
      </w:r>
      <w:r>
        <w:rPr>
          <w:color w:val="2E5C7C"/>
          <w:spacing w:val="16"/>
        </w:rPr>
        <w:t xml:space="preserve"> </w:t>
      </w:r>
      <w:r>
        <w:rPr>
          <w:color w:val="2E5C7C"/>
        </w:rPr>
        <w:t>and</w:t>
      </w:r>
      <w:r>
        <w:rPr>
          <w:color w:val="2E5C7C"/>
          <w:spacing w:val="16"/>
        </w:rPr>
        <w:t xml:space="preserve"> </w:t>
      </w:r>
      <w:r>
        <w:rPr>
          <w:color w:val="2E5C7C"/>
        </w:rPr>
        <w:t>Study</w:t>
      </w:r>
      <w:r>
        <w:rPr>
          <w:color w:val="2E5C7C"/>
          <w:spacing w:val="2"/>
        </w:rPr>
        <w:t xml:space="preserve"> </w:t>
      </w:r>
      <w:r>
        <w:rPr>
          <w:color w:val="2E5C7C"/>
        </w:rPr>
        <w:t>Objective(s):</w:t>
      </w:r>
    </w:p>
    <w:p w14:paraId="1D19BFF0" w14:textId="4B2FCC20" w:rsidR="00BD1C04" w:rsidRDefault="001779BB">
      <w:pPr>
        <w:pStyle w:val="BodyText"/>
        <w:spacing w:before="120"/>
        <w:ind w:firstLine="720"/>
      </w:pPr>
      <w:r>
        <w:t>The objective was to determine the</w:t>
      </w:r>
      <w:r w:rsidR="00D56818">
        <w:t xml:space="preserve"> association between </w:t>
      </w:r>
      <w:proofErr w:type="gramStart"/>
      <w:r>
        <w:t xml:space="preserve">intravenous </w:t>
      </w:r>
      <w:r w:rsidR="00D56818">
        <w:rPr>
          <w:spacing w:val="-47"/>
        </w:rPr>
        <w:t xml:space="preserve"> </w:t>
      </w:r>
      <w:r w:rsidR="00D56818">
        <w:t>contrast</w:t>
      </w:r>
      <w:proofErr w:type="gramEnd"/>
      <w:r w:rsidR="00D56818">
        <w:rPr>
          <w:spacing w:val="-10"/>
        </w:rPr>
        <w:t xml:space="preserve"> </w:t>
      </w:r>
      <w:r w:rsidR="00D56818">
        <w:t>administration</w:t>
      </w:r>
      <w:r w:rsidR="00D56818">
        <w:rPr>
          <w:spacing w:val="-9"/>
        </w:rPr>
        <w:t xml:space="preserve"> </w:t>
      </w:r>
      <w:r w:rsidR="00D56818">
        <w:t>for</w:t>
      </w:r>
      <w:r w:rsidR="00D56818">
        <w:rPr>
          <w:spacing w:val="-9"/>
        </w:rPr>
        <w:t xml:space="preserve"> </w:t>
      </w:r>
      <w:r w:rsidR="00D56818">
        <w:t>CT</w:t>
      </w:r>
      <w:r>
        <w:t xml:space="preserve"> pulmonary angiography</w:t>
      </w:r>
      <w:r w:rsidR="00D56818">
        <w:rPr>
          <w:spacing w:val="-9"/>
        </w:rPr>
        <w:t xml:space="preserve"> </w:t>
      </w:r>
      <w:r w:rsidR="00D56818">
        <w:t>and</w:t>
      </w:r>
      <w:r w:rsidR="00D56818">
        <w:rPr>
          <w:spacing w:val="-9"/>
        </w:rPr>
        <w:t xml:space="preserve"> </w:t>
      </w:r>
      <w:r w:rsidR="00D56818">
        <w:t>long</w:t>
      </w:r>
      <w:r>
        <w:t>-</w:t>
      </w:r>
      <w:r w:rsidR="00D56818">
        <w:t>term</w:t>
      </w:r>
      <w:r w:rsidR="00D56818">
        <w:rPr>
          <w:spacing w:val="-9"/>
        </w:rPr>
        <w:t xml:space="preserve"> </w:t>
      </w:r>
      <w:r w:rsidR="00D56818">
        <w:t>renal</w:t>
      </w:r>
      <w:r w:rsidR="00D56818">
        <w:rPr>
          <w:spacing w:val="-9"/>
        </w:rPr>
        <w:t xml:space="preserve"> </w:t>
      </w:r>
      <w:r w:rsidR="00D56818">
        <w:t>function,</w:t>
      </w:r>
      <w:r w:rsidR="00D56818">
        <w:rPr>
          <w:spacing w:val="-9"/>
        </w:rPr>
        <w:t xml:space="preserve"> </w:t>
      </w:r>
      <w:r w:rsidR="00D56818">
        <w:t>with</w:t>
      </w:r>
      <w:r w:rsidR="00D56818">
        <w:rPr>
          <w:spacing w:val="-9"/>
        </w:rPr>
        <w:t xml:space="preserve"> </w:t>
      </w:r>
      <w:r w:rsidR="00D56818">
        <w:t>secondary</w:t>
      </w:r>
      <w:r w:rsidR="00D56818">
        <w:rPr>
          <w:spacing w:val="-9"/>
        </w:rPr>
        <w:t xml:space="preserve"> </w:t>
      </w:r>
      <w:r w:rsidR="00D56818">
        <w:t>outcomes</w:t>
      </w:r>
      <w:r w:rsidR="00D56818">
        <w:rPr>
          <w:spacing w:val="-9"/>
        </w:rPr>
        <w:t xml:space="preserve"> </w:t>
      </w:r>
      <w:r w:rsidR="00D56818">
        <w:t>of</w:t>
      </w:r>
      <w:r w:rsidR="00D56818">
        <w:rPr>
          <w:spacing w:val="-9"/>
        </w:rPr>
        <w:t xml:space="preserve"> </w:t>
      </w:r>
      <w:r w:rsidR="00D56818">
        <w:t>AKI</w:t>
      </w:r>
      <w:r w:rsidR="00D56818">
        <w:rPr>
          <w:spacing w:val="-9"/>
        </w:rPr>
        <w:t xml:space="preserve"> </w:t>
      </w:r>
      <w:r w:rsidR="00D56818">
        <w:t>(using</w:t>
      </w:r>
      <w:r w:rsidR="00D56818">
        <w:rPr>
          <w:spacing w:val="1"/>
        </w:rPr>
        <w:t xml:space="preserve"> </w:t>
      </w:r>
      <w:r w:rsidR="00D56818">
        <w:t>the standard definition of increase of Cr by 50% or 26 µmol/L within 7 days), or need for renal</w:t>
      </w:r>
      <w:r w:rsidR="00D56818">
        <w:rPr>
          <w:spacing w:val="1"/>
        </w:rPr>
        <w:t xml:space="preserve"> </w:t>
      </w:r>
      <w:r w:rsidR="00D56818">
        <w:t>replacement</w:t>
      </w:r>
      <w:r w:rsidR="00D56818">
        <w:rPr>
          <w:spacing w:val="-2"/>
        </w:rPr>
        <w:t xml:space="preserve"> </w:t>
      </w:r>
      <w:r w:rsidR="00D56818">
        <w:t>therapy</w:t>
      </w:r>
      <w:r w:rsidR="00D56818">
        <w:rPr>
          <w:spacing w:val="-2"/>
        </w:rPr>
        <w:t xml:space="preserve"> </w:t>
      </w:r>
      <w:r w:rsidR="00D56818">
        <w:t>and</w:t>
      </w:r>
      <w:r w:rsidR="00D56818">
        <w:rPr>
          <w:spacing w:val="-2"/>
        </w:rPr>
        <w:t xml:space="preserve"> </w:t>
      </w:r>
      <w:r w:rsidR="00D56818">
        <w:t>all-cause</w:t>
      </w:r>
      <w:r w:rsidR="00D56818">
        <w:rPr>
          <w:spacing w:val="-1"/>
        </w:rPr>
        <w:t xml:space="preserve"> </w:t>
      </w:r>
      <w:r w:rsidR="00D56818">
        <w:t>mortality</w:t>
      </w:r>
      <w:r w:rsidR="00D56818">
        <w:rPr>
          <w:spacing w:val="-2"/>
        </w:rPr>
        <w:t xml:space="preserve"> </w:t>
      </w:r>
      <w:r w:rsidR="00D56818">
        <w:t>within</w:t>
      </w:r>
      <w:r w:rsidR="00D56818">
        <w:rPr>
          <w:spacing w:val="-2"/>
        </w:rPr>
        <w:t xml:space="preserve"> </w:t>
      </w:r>
      <w:r w:rsidR="00D56818">
        <w:t>6</w:t>
      </w:r>
      <w:r w:rsidR="00D56818">
        <w:rPr>
          <w:spacing w:val="-2"/>
        </w:rPr>
        <w:t xml:space="preserve"> </w:t>
      </w:r>
      <w:r w:rsidR="00D56818">
        <w:t>months.</w:t>
      </w:r>
    </w:p>
    <w:p w14:paraId="7FE51EAB" w14:textId="77777777" w:rsidR="00BD1C04" w:rsidRDefault="00BD1C04">
      <w:pPr>
        <w:pStyle w:val="BodyText"/>
        <w:ind w:left="0" w:right="0"/>
      </w:pPr>
    </w:p>
    <w:p w14:paraId="13D68713" w14:textId="77777777" w:rsidR="00BD1C04" w:rsidRDefault="00BD1C04">
      <w:pPr>
        <w:pStyle w:val="BodyText"/>
        <w:spacing w:before="7"/>
        <w:ind w:left="0" w:right="0"/>
        <w:rPr>
          <w:sz w:val="20"/>
        </w:rPr>
      </w:pPr>
    </w:p>
    <w:p w14:paraId="2808AE9C" w14:textId="77777777" w:rsidR="00BD1C04" w:rsidRDefault="00D56818">
      <w:pPr>
        <w:pStyle w:val="Heading1"/>
      </w:pPr>
      <w:r>
        <w:rPr>
          <w:color w:val="2E5C7C"/>
          <w:w w:val="105"/>
        </w:rPr>
        <w:t>Study</w:t>
      </w:r>
      <w:r>
        <w:rPr>
          <w:color w:val="2E5C7C"/>
          <w:spacing w:val="-9"/>
          <w:w w:val="105"/>
        </w:rPr>
        <w:t xml:space="preserve"> </w:t>
      </w:r>
      <w:r>
        <w:rPr>
          <w:color w:val="2E5C7C"/>
          <w:w w:val="105"/>
        </w:rPr>
        <w:t>Design:</w:t>
      </w:r>
    </w:p>
    <w:p w14:paraId="7BF93F23" w14:textId="04158CD4" w:rsidR="00BD1C04" w:rsidRDefault="00D56818" w:rsidP="001779BB">
      <w:pPr>
        <w:pStyle w:val="BodyText"/>
        <w:spacing w:before="126"/>
        <w:ind w:firstLine="720"/>
      </w:pP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retrospective</w:t>
      </w:r>
      <w:r w:rsidR="001779BB">
        <w:t xml:space="preserve"> </w:t>
      </w:r>
      <w:r>
        <w:t>cohort</w:t>
      </w:r>
      <w:r>
        <w:rPr>
          <w:spacing w:val="-9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fuzzy</w:t>
      </w:r>
      <w:r>
        <w:rPr>
          <w:spacing w:val="-9"/>
        </w:rPr>
        <w:t xml:space="preserve"> </w:t>
      </w:r>
      <w:r>
        <w:t>regression</w:t>
      </w:r>
      <w:r>
        <w:rPr>
          <w:spacing w:val="-9"/>
        </w:rPr>
        <w:t xml:space="preserve"> </w:t>
      </w:r>
      <w:r>
        <w:t>discontinuity</w:t>
      </w:r>
      <w:r>
        <w:rPr>
          <w:spacing w:val="1"/>
        </w:rPr>
        <w:t xml:space="preserve"> </w:t>
      </w:r>
      <w:r>
        <w:t xml:space="preserve">design (RDD). </w:t>
      </w:r>
      <w:r w:rsidR="001779BB">
        <w:t>The data source</w:t>
      </w:r>
      <w:r>
        <w:t xml:space="preserve"> </w:t>
      </w:r>
      <w:r w:rsidR="001779BB">
        <w:t xml:space="preserve">was </w:t>
      </w:r>
      <w:r>
        <w:t xml:space="preserve">provincial </w:t>
      </w:r>
      <w:r>
        <w:t xml:space="preserve">Alberta health records. </w:t>
      </w:r>
      <w:r w:rsidR="001779BB">
        <w:t>Inclusion criteria were patients at least</w:t>
      </w:r>
      <w:r>
        <w:t xml:space="preserve"> </w:t>
      </w:r>
      <w:r>
        <w:t xml:space="preserve">18 </w:t>
      </w:r>
      <w:r w:rsidR="007C2BA1">
        <w:t xml:space="preserve">without recent renal replacement (last 6 months) </w:t>
      </w:r>
      <w:r>
        <w:t xml:space="preserve">who underwent </w:t>
      </w:r>
      <w:r w:rsidR="007C2BA1">
        <w:t xml:space="preserve">ED-based </w:t>
      </w:r>
      <w:r>
        <w:t xml:space="preserve">D-dimer testing </w:t>
      </w:r>
      <w:r>
        <w:t>between 2013-2018. They excluded pe</w:t>
      </w:r>
      <w:r>
        <w:t>ople who did not have a baseline eGFR taken</w:t>
      </w:r>
      <w:r>
        <w:rPr>
          <w:spacing w:val="1"/>
        </w:rPr>
        <w:t xml:space="preserve"> </w:t>
      </w:r>
      <w:r>
        <w:t>within 2 hours of the D-dimer</w:t>
      </w:r>
      <w:r>
        <w:t xml:space="preserve"> </w:t>
      </w:r>
      <w:r>
        <w:t>Their</w:t>
      </w:r>
      <w:r>
        <w:rPr>
          <w:spacing w:val="-5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D-dimer.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 w:rsidR="001779BB">
        <w:t xml:space="preserve">the </w:t>
      </w:r>
      <w:r>
        <w:t>D-dimer value fell directly on the cut off due to ambiguity. The cut off was sent at 500 ng/mL</w:t>
      </w:r>
      <w:r w:rsidR="001779BB">
        <w:t xml:space="preserve">, or else at the individual site cutoff. </w:t>
      </w:r>
      <w:r>
        <w:t>The</w:t>
      </w:r>
      <w:r>
        <w:rPr>
          <w:spacing w:val="-6"/>
        </w:rPr>
        <w:t xml:space="preserve"> </w:t>
      </w:r>
      <w:r>
        <w:t>assumption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clustered</w:t>
      </w:r>
      <w:r>
        <w:rPr>
          <w:spacing w:val="-5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</w:p>
    <w:p w14:paraId="220BDF7B" w14:textId="3C893DF6" w:rsidR="001779BB" w:rsidRDefault="001779BB" w:rsidP="001779BB">
      <w:pPr>
        <w:pStyle w:val="BodyText"/>
        <w:spacing w:before="126"/>
        <w:ind w:firstLine="720"/>
      </w:pPr>
    </w:p>
    <w:p w14:paraId="66B3FA24" w14:textId="77777777" w:rsidR="001779BB" w:rsidRDefault="001779BB" w:rsidP="001779BB">
      <w:pPr>
        <w:pStyle w:val="BodyText"/>
        <w:spacing w:before="126"/>
        <w:ind w:firstLine="720"/>
      </w:pPr>
    </w:p>
    <w:p w14:paraId="23F8176E" w14:textId="77777777" w:rsidR="00BD1C04" w:rsidRDefault="00BD1C04">
      <w:pPr>
        <w:sectPr w:rsidR="00BD1C04">
          <w:type w:val="continuous"/>
          <w:pgSz w:w="11920" w:h="16840"/>
          <w:pgMar w:top="1460" w:right="0" w:bottom="280" w:left="1340" w:header="720" w:footer="720" w:gutter="0"/>
          <w:cols w:space="720"/>
        </w:sectPr>
      </w:pPr>
    </w:p>
    <w:p w14:paraId="5DDA19BD" w14:textId="77777777" w:rsidR="00F364B0" w:rsidRDefault="00D56818">
      <w:pPr>
        <w:pStyle w:val="BodyText"/>
        <w:spacing w:before="44"/>
      </w:pPr>
      <w:r>
        <w:lastRenderedPageBreak/>
        <w:t>D-dimer</w:t>
      </w:r>
      <w:r>
        <w:rPr>
          <w:spacing w:val="-7"/>
        </w:rPr>
        <w:t xml:space="preserve"> </w:t>
      </w:r>
      <w:r>
        <w:t>cut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char</w:t>
      </w:r>
      <w:r>
        <w:t>acteristics</w:t>
      </w:r>
      <w:r>
        <w:rPr>
          <w:spacing w:val="-7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D-dimer</w:t>
      </w:r>
      <w:r>
        <w:rPr>
          <w:spacing w:val="-7"/>
        </w:rPr>
        <w:t xml:space="preserve"> </w:t>
      </w:r>
      <w:r>
        <w:t>value</w:t>
      </w:r>
      <w:r w:rsidR="007C2BA1">
        <w:t xml:space="preserve">; therefore, a D-dimer just above or just below the cutoff value dramatically increases or decreases the probability of </w:t>
      </w:r>
      <w:r w:rsidR="00F364B0">
        <w:t xml:space="preserve">the </w:t>
      </w:r>
      <w:r w:rsidR="007C2BA1">
        <w:t xml:space="preserve">exposure </w:t>
      </w:r>
      <w:r w:rsidR="00F364B0">
        <w:t>variable</w:t>
      </w:r>
      <w:r w:rsidR="007C2BA1">
        <w:t xml:space="preserve"> CTPA. </w:t>
      </w:r>
      <w:r>
        <w:t>In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words,</w:t>
      </w:r>
      <w:r>
        <w:rPr>
          <w:spacing w:val="-7"/>
        </w:rPr>
        <w:t xml:space="preserve"> </w:t>
      </w:r>
      <w:r w:rsidR="007C2BA1">
        <w:t>this is analogous to the cohort “randomized” to receivin</w:t>
      </w:r>
      <w:r>
        <w:t>g</w:t>
      </w:r>
      <w:r>
        <w:rPr>
          <w:spacing w:val="-7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contrast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CTPA.</w:t>
      </w:r>
    </w:p>
    <w:p w14:paraId="7FA79838" w14:textId="305219C5" w:rsidR="00BD1C04" w:rsidRDefault="00F364B0">
      <w:pPr>
        <w:pStyle w:val="BodyText"/>
        <w:spacing w:before="44"/>
      </w:pPr>
      <w:r>
        <w:tab/>
        <w:t xml:space="preserve">The outcome variable is long-term kidney function, measured by eGFR up to 6 months after the index ED visit. To measure the association of CTPA on eGFR, authors adjusted for age, baseline eGFR, sex, DM, HTN, cancer, CAD, ED triage score, and </w:t>
      </w:r>
      <w:proofErr w:type="spellStart"/>
      <w:r>
        <w:t>Charlson</w:t>
      </w:r>
      <w:proofErr w:type="spellEnd"/>
      <w:r>
        <w:t xml:space="preserve"> comorbidity score. </w:t>
      </w:r>
      <w:r w:rsidR="00D56818">
        <w:t xml:space="preserve"> </w:t>
      </w:r>
    </w:p>
    <w:p w14:paraId="5B87A490" w14:textId="77777777" w:rsidR="00BD1C04" w:rsidRDefault="00D56818">
      <w:pPr>
        <w:pStyle w:val="BodyText"/>
        <w:spacing w:before="120"/>
        <w:ind w:right="1498" w:firstLine="720"/>
      </w:pPr>
      <w:r>
        <w:t>The “fuzzy” RDD accounts for the fact that not everyone above the D-dimer cut off</w:t>
      </w:r>
      <w:r>
        <w:rPr>
          <w:spacing w:val="1"/>
        </w:rPr>
        <w:t xml:space="preserve"> </w:t>
      </w:r>
      <w:r>
        <w:t>underwent</w:t>
      </w:r>
      <w:r>
        <w:rPr>
          <w:spacing w:val="-8"/>
        </w:rPr>
        <w:t xml:space="preserve"> </w:t>
      </w:r>
      <w:r>
        <w:t>CTPA</w:t>
      </w:r>
      <w:r>
        <w:rPr>
          <w:spacing w:val="-8"/>
        </w:rPr>
        <w:t xml:space="preserve"> </w:t>
      </w:r>
      <w:r>
        <w:t>testing.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D-dime</w:t>
      </w:r>
      <w:r>
        <w:t>r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cut</w:t>
      </w:r>
      <w:r>
        <w:rPr>
          <w:spacing w:val="-8"/>
        </w:rPr>
        <w:t xml:space="preserve"> </w:t>
      </w:r>
      <w:r>
        <w:t>off,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intention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treat</w:t>
      </w:r>
      <w:r>
        <w:rPr>
          <w:spacing w:val="-8"/>
        </w:rPr>
        <w:t xml:space="preserve"> </w:t>
      </w:r>
      <w:r>
        <w:t>them: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order a CTPA. For those below the cut off, the intention is to not treat them: to not order a CTPA. In</w:t>
      </w:r>
      <w:r>
        <w:rPr>
          <w:spacing w:val="1"/>
        </w:rPr>
        <w:t xml:space="preserve"> </w:t>
      </w:r>
      <w:r>
        <w:t>order to account for the discrepancy in CTPAs ordered above and below the D-dimer cut off, the</w:t>
      </w:r>
      <w:r>
        <w:rPr>
          <w:spacing w:val="1"/>
        </w:rPr>
        <w:t xml:space="preserve"> </w:t>
      </w:r>
      <w:r>
        <w:t>co</w:t>
      </w:r>
      <w:r>
        <w:t>mplier</w:t>
      </w:r>
      <w:r>
        <w:rPr>
          <w:spacing w:val="-9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causal</w:t>
      </w:r>
      <w:r>
        <w:rPr>
          <w:spacing w:val="-8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calculated.</w:t>
      </w:r>
      <w:r>
        <w:rPr>
          <w:spacing w:val="-8"/>
        </w:rPr>
        <w:t xml:space="preserve"> </w:t>
      </w:r>
      <w:r>
        <w:t>Compliers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physicians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CTPA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D-dimer is above the cut off. The assumption is that if there are differences in outcomes above or</w:t>
      </w:r>
      <w:r>
        <w:rPr>
          <w:spacing w:val="1"/>
        </w:rPr>
        <w:t xml:space="preserve"> </w:t>
      </w:r>
      <w:r>
        <w:t>below the cut off, it is due to the number of CTPAs being ordered in the groups. Causality is</w:t>
      </w:r>
      <w:r>
        <w:rPr>
          <w:spacing w:val="1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dividing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difference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entire</w:t>
      </w:r>
      <w:r>
        <w:rPr>
          <w:spacing w:val="-7"/>
        </w:rPr>
        <w:t xml:space="preserve"> </w:t>
      </w:r>
      <w:r>
        <w:t>cohort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D-dimer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versus</w:t>
      </w:r>
      <w:r>
        <w:rPr>
          <w:spacing w:val="1"/>
        </w:rPr>
        <w:t xml:space="preserve"> </w:t>
      </w:r>
      <w:r>
        <w:t>just below the cut off (the ITT analysis) by the difference in percentages of people just above versus</w:t>
      </w:r>
      <w:r>
        <w:rPr>
          <w:spacing w:val="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cut</w:t>
      </w:r>
      <w:r>
        <w:rPr>
          <w:spacing w:val="-1"/>
        </w:rPr>
        <w:t xml:space="preserve"> </w:t>
      </w:r>
      <w:r>
        <w:t>off</w:t>
      </w:r>
      <w:proofErr w:type="spellEnd"/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CTPAs.</w:t>
      </w:r>
    </w:p>
    <w:p w14:paraId="7DC10AD7" w14:textId="77777777" w:rsidR="00BD1C04" w:rsidRDefault="00D56818">
      <w:pPr>
        <w:pStyle w:val="BodyText"/>
        <w:spacing w:before="120"/>
        <w:ind w:firstLine="720"/>
      </w:pPr>
      <w:r>
        <w:t>They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subgroup</w:t>
      </w:r>
      <w:r>
        <w:rPr>
          <w:spacing w:val="-5"/>
        </w:rPr>
        <w:t xml:space="preserve"> </w:t>
      </w:r>
      <w:r>
        <w:t>analyses</w:t>
      </w:r>
      <w:r>
        <w:rPr>
          <w:spacing w:val="-6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thought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CIN,</w:t>
      </w:r>
      <w:r>
        <w:rPr>
          <w:spacing w:val="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diabetes,</w:t>
      </w:r>
      <w:r>
        <w:rPr>
          <w:spacing w:val="-3"/>
        </w:rPr>
        <w:t xml:space="preserve"> </w:t>
      </w:r>
      <w:r>
        <w:t>hypertension,</w:t>
      </w:r>
      <w:r>
        <w:rPr>
          <w:spacing w:val="-3"/>
        </w:rPr>
        <w:t xml:space="preserve"> </w:t>
      </w:r>
      <w:r>
        <w:t>eGFR</w:t>
      </w:r>
      <w:r>
        <w:rPr>
          <w:spacing w:val="-3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color w:val="424242"/>
        </w:rPr>
        <w:t>mL/min/1.73m</w:t>
      </w:r>
      <w:r>
        <w:rPr>
          <w:color w:val="424242"/>
          <w:vertAlign w:val="superscript"/>
        </w:rPr>
        <w:t>2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60.</w:t>
      </w:r>
    </w:p>
    <w:p w14:paraId="71C9D4D6" w14:textId="77777777" w:rsidR="00BD1C04" w:rsidRDefault="00BD1C04">
      <w:pPr>
        <w:pStyle w:val="BodyText"/>
        <w:ind w:left="0" w:right="0"/>
        <w:rPr>
          <w:sz w:val="24"/>
        </w:rPr>
      </w:pPr>
    </w:p>
    <w:p w14:paraId="66F703F6" w14:textId="77777777" w:rsidR="00BD1C04" w:rsidRDefault="00BD1C04">
      <w:pPr>
        <w:pStyle w:val="BodyText"/>
        <w:spacing w:before="7"/>
        <w:ind w:left="0" w:right="0"/>
        <w:rPr>
          <w:sz w:val="18"/>
        </w:rPr>
      </w:pPr>
    </w:p>
    <w:p w14:paraId="2D5FD5B3" w14:textId="77777777" w:rsidR="00BD1C04" w:rsidRDefault="00D56818">
      <w:pPr>
        <w:pStyle w:val="Heading1"/>
      </w:pPr>
      <w:r>
        <w:rPr>
          <w:color w:val="2E5C7C"/>
          <w:w w:val="105"/>
        </w:rPr>
        <w:t>Results:</w:t>
      </w:r>
    </w:p>
    <w:p w14:paraId="50960BFE" w14:textId="77777777" w:rsidR="00BD1C04" w:rsidRDefault="00BD1C04">
      <w:pPr>
        <w:pStyle w:val="BodyText"/>
        <w:spacing w:before="9"/>
        <w:ind w:left="0" w:right="0"/>
        <w:rPr>
          <w:b/>
          <w:sz w:val="26"/>
        </w:rPr>
      </w:pPr>
    </w:p>
    <w:p w14:paraId="2756F28E" w14:textId="24ADC4FE" w:rsidR="00BD1C04" w:rsidRDefault="00D56818">
      <w:pPr>
        <w:pStyle w:val="BodyText"/>
        <w:ind w:firstLine="720"/>
      </w:pPr>
      <w:r>
        <w:t>156 028 people underwent D-dimer testing and met inclusion criteria. Mean age was 53</w:t>
      </w:r>
      <w:r>
        <w:rPr>
          <w:spacing w:val="1"/>
        </w:rPr>
        <w:t xml:space="preserve"> </w:t>
      </w:r>
      <w:r>
        <w:t>years, 44% were men and mean baseline eGFR was 86 mL/min/1.73</w:t>
      </w:r>
      <w:r>
        <w:t>m</w:t>
      </w:r>
      <w:r>
        <w:rPr>
          <w:vertAlign w:val="superscript"/>
        </w:rPr>
        <w:t>2</w:t>
      </w:r>
      <w:r>
        <w:t>. There was a clear 23%</w:t>
      </w:r>
      <w:r>
        <w:rPr>
          <w:spacing w:val="1"/>
        </w:rPr>
        <w:t xml:space="preserve"> </w:t>
      </w:r>
      <w:r>
        <w:t>discontinuity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CTPA</w:t>
      </w:r>
      <w:r>
        <w:rPr>
          <w:spacing w:val="-9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D-dimer</w:t>
      </w:r>
      <w:r>
        <w:rPr>
          <w:spacing w:val="-8"/>
        </w:rPr>
        <w:t xml:space="preserve"> </w:t>
      </w:r>
      <w:r>
        <w:t>cut</w:t>
      </w:r>
      <w:r>
        <w:rPr>
          <w:spacing w:val="-9"/>
        </w:rPr>
        <w:t xml:space="preserve"> </w:t>
      </w:r>
      <w:r>
        <w:t>off.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discontinuity</w:t>
      </w:r>
      <w:r>
        <w:rPr>
          <w:spacing w:val="-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potential confounders, meaning the groups were well balanced at the cut off</w:t>
      </w:r>
      <w:r w:rsidR="00F364B0">
        <w:t>. Follow-up data were available for 84 624 patients (54%)</w:t>
      </w:r>
      <w:r>
        <w:t xml:space="preserve"> and the frequency of missing data was not related to changes at the cutoff. </w:t>
      </w:r>
    </w:p>
    <w:p w14:paraId="4DA3FEE9" w14:textId="77777777" w:rsidR="00BD1C04" w:rsidRDefault="00BD1C04">
      <w:pPr>
        <w:pStyle w:val="BodyText"/>
        <w:ind w:left="0" w:right="0"/>
      </w:pPr>
    </w:p>
    <w:p w14:paraId="27771BDE" w14:textId="77777777" w:rsidR="00BD1C04" w:rsidRDefault="00D56818">
      <w:pPr>
        <w:pStyle w:val="BodyText"/>
        <w:ind w:firstLine="720"/>
      </w:pPr>
      <w:r>
        <w:t>Median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eGFR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3.7</w:t>
      </w:r>
      <w:r>
        <w:rPr>
          <w:spacing w:val="-6"/>
        </w:rPr>
        <w:t xml:space="preserve"> </w:t>
      </w:r>
      <w:r>
        <w:t>months.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ITT</w:t>
      </w:r>
      <w:r>
        <w:rPr>
          <w:spacing w:val="-6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D-dimer</w:t>
      </w:r>
      <w:r>
        <w:rPr>
          <w:spacing w:val="-6"/>
        </w:rPr>
        <w:t xml:space="preserve"> </w:t>
      </w:r>
      <w:r>
        <w:t>cutoff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spellStart"/>
      <w:r>
        <w:t>longterm</w:t>
      </w:r>
      <w:proofErr w:type="spellEnd"/>
      <w:r>
        <w:rPr>
          <w:spacing w:val="-5"/>
        </w:rPr>
        <w:t xml:space="preserve"> </w:t>
      </w:r>
      <w:r>
        <w:t>eGFR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nonsignificant</w:t>
      </w:r>
      <w:r>
        <w:rPr>
          <w:spacing w:val="-5"/>
        </w:rPr>
        <w:t xml:space="preserve"> </w:t>
      </w:r>
      <w:r>
        <w:t>(discontinuity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ascii="Arial" w:hAnsi="Arial"/>
        </w:rPr>
        <w:t>−</w:t>
      </w:r>
      <w:r>
        <w:t>0.1</w:t>
      </w:r>
      <w:r>
        <w:rPr>
          <w:spacing w:val="-5"/>
        </w:rPr>
        <w:t xml:space="preserve"> </w:t>
      </w:r>
      <w:r>
        <w:t>mL/min/1.73</w:t>
      </w:r>
      <w:r>
        <w:rPr>
          <w:spacing w:val="-5"/>
        </w:rPr>
        <w:t xml:space="preserve"> </w:t>
      </w:r>
      <w:r>
        <w:t>m2</w:t>
      </w:r>
      <w:r>
        <w:rPr>
          <w:spacing w:val="-5"/>
        </w:rPr>
        <w:t xml:space="preserve"> </w:t>
      </w:r>
      <w:r>
        <w:t>(95%</w:t>
      </w:r>
      <w:r>
        <w:rPr>
          <w:spacing w:val="-5"/>
        </w:rPr>
        <w:t xml:space="preserve"> </w:t>
      </w:r>
      <w:r>
        <w:t>CI,</w:t>
      </w:r>
      <w:r>
        <w:rPr>
          <w:spacing w:val="-6"/>
        </w:rPr>
        <w:t xml:space="preserve"> </w:t>
      </w:r>
      <w:r>
        <w:rPr>
          <w:rFonts w:ascii="Arial" w:hAnsi="Arial"/>
        </w:rPr>
        <w:t>−</w:t>
      </w:r>
      <w:r>
        <w:t>1.2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1.1)).</w:t>
      </w:r>
    </w:p>
    <w:p w14:paraId="635D4ADD" w14:textId="461A13F9" w:rsidR="00BD1C04" w:rsidRDefault="00D56818" w:rsidP="00D56818">
      <w:pPr>
        <w:pStyle w:val="BodyText"/>
        <w:spacing w:before="120"/>
        <w:ind w:firstLine="720"/>
      </w:pPr>
      <w:r>
        <w:t>Overall, 165 (0.11%, 161 dialysis, 4 transplant</w:t>
      </w:r>
      <w:r>
        <w:t>) patients underwent kidney replacement therapy in the 6 months</w:t>
      </w:r>
      <w:r>
        <w:rPr>
          <w:spacing w:val="1"/>
        </w:rPr>
        <w:t xml:space="preserve"> </w:t>
      </w:r>
      <w:r>
        <w:t>following the index visit. There was no association between CTPA and need for kidney replacement</w:t>
      </w:r>
      <w:r>
        <w:rPr>
          <w:spacing w:val="1"/>
        </w:rPr>
        <w:t xml:space="preserve"> </w:t>
      </w:r>
      <w:r>
        <w:t xml:space="preserve">therapy (RD, 0.07% [95% CI, </w:t>
      </w:r>
      <w:r>
        <w:rPr>
          <w:rFonts w:ascii="Arial" w:hAnsi="Arial"/>
        </w:rPr>
        <w:t>−</w:t>
      </w:r>
      <w:r>
        <w:t>0.47% to 0.61%]). For patients who had repeat eGFR testing within 7</w:t>
      </w:r>
      <w:r>
        <w:rPr>
          <w:spacing w:val="1"/>
        </w:rPr>
        <w:t xml:space="preserve"> </w:t>
      </w:r>
      <w:r>
        <w:t>days,</w:t>
      </w:r>
      <w:r>
        <w:rPr>
          <w:spacing w:val="-7"/>
        </w:rPr>
        <w:t xml:space="preserve"> </w:t>
      </w:r>
      <w:r>
        <w:t>4147</w:t>
      </w:r>
      <w:r>
        <w:rPr>
          <w:spacing w:val="-7"/>
        </w:rPr>
        <w:t xml:space="preserve"> </w:t>
      </w:r>
      <w:r>
        <w:t>(9.7%)</w:t>
      </w:r>
      <w:r>
        <w:rPr>
          <w:spacing w:val="-7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AKI.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asso</w:t>
      </w:r>
      <w:r>
        <w:t>ciation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CTPA</w:t>
      </w:r>
      <w:r>
        <w:rPr>
          <w:spacing w:val="-7"/>
        </w:rPr>
        <w:t xml:space="preserve"> </w:t>
      </w:r>
      <w:r>
        <w:t>(RD,</w:t>
      </w:r>
      <w:r>
        <w:rPr>
          <w:spacing w:val="-6"/>
        </w:rPr>
        <w:t xml:space="preserve"> </w:t>
      </w:r>
      <w:r>
        <w:t>4.3%</w:t>
      </w:r>
      <w:r>
        <w:rPr>
          <w:spacing w:val="-7"/>
        </w:rPr>
        <w:t xml:space="preserve"> </w:t>
      </w:r>
      <w:r>
        <w:t>[95%</w:t>
      </w:r>
      <w:r>
        <w:rPr>
          <w:spacing w:val="-7"/>
        </w:rPr>
        <w:t xml:space="preserve"> </w:t>
      </w:r>
      <w:proofErr w:type="gramStart"/>
      <w:r>
        <w:t>CI,</w:t>
      </w:r>
      <w:r>
        <w:rPr>
          <w:rFonts w:ascii="Arial" w:hAnsi="Arial"/>
        </w:rPr>
        <w:t>−</w:t>
      </w:r>
      <w:proofErr w:type="gramEnd"/>
      <w:r>
        <w:t>2.7%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12.9%]).</w:t>
      </w:r>
      <w:r>
        <w:rPr>
          <w:spacing w:val="-7"/>
        </w:rPr>
        <w:t xml:space="preserve"> </w:t>
      </w:r>
      <w:r>
        <w:t>Repeat</w:t>
      </w:r>
      <w:r>
        <w:rPr>
          <w:spacing w:val="-6"/>
        </w:rPr>
        <w:t xml:space="preserve"> </w:t>
      </w:r>
      <w:r>
        <w:t>eGFR</w:t>
      </w:r>
      <w:r>
        <w:rPr>
          <w:spacing w:val="-6"/>
        </w:rPr>
        <w:t xml:space="preserve"> </w:t>
      </w:r>
      <w:r>
        <w:t>measurements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691</w:t>
      </w:r>
      <w:r>
        <w:rPr>
          <w:spacing w:val="-6"/>
        </w:rPr>
        <w:t xml:space="preserve"> </w:t>
      </w:r>
      <w:r>
        <w:t>(27%)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patients. 6 656 (4.3%) patients died in the 6 months following the index visit, with no association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CTPA.</w:t>
      </w:r>
    </w:p>
    <w:p w14:paraId="0D0DFF11" w14:textId="77777777" w:rsidR="00BD1C04" w:rsidRDefault="00D56818">
      <w:pPr>
        <w:pStyle w:val="BodyText"/>
        <w:ind w:firstLine="720"/>
      </w:pPr>
      <w:r>
        <w:t>Subgroup</w:t>
      </w:r>
      <w:r>
        <w:rPr>
          <w:spacing w:val="-9"/>
        </w:rPr>
        <w:t xml:space="preserve"> </w:t>
      </w:r>
      <w:r>
        <w:t>analyses</w:t>
      </w:r>
      <w:r>
        <w:rPr>
          <w:spacing w:val="-8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contrast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t>impacting</w:t>
      </w:r>
      <w:r>
        <w:rPr>
          <w:spacing w:val="-9"/>
        </w:rPr>
        <w:t xml:space="preserve"> </w:t>
      </w:r>
      <w:proofErr w:type="spellStart"/>
      <w:r>
        <w:t>longterm</w:t>
      </w:r>
      <w:proofErr w:type="spellEnd"/>
      <w:r>
        <w:rPr>
          <w:spacing w:val="-8"/>
        </w:rPr>
        <w:t xml:space="preserve"> </w:t>
      </w:r>
      <w:r>
        <w:t>eGFR</w:t>
      </w:r>
      <w:r>
        <w:rPr>
          <w:spacing w:val="-9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 xml:space="preserve">on age, baseline eGFR, hypertension or diabetes. However, </w:t>
      </w:r>
      <w:r>
        <w:t>the diabetes subgroup analysis was</w:t>
      </w:r>
      <w:r>
        <w:rPr>
          <w:spacing w:val="1"/>
        </w:rPr>
        <w:t xml:space="preserve"> </w:t>
      </w:r>
      <w:r>
        <w:t>potentially</w:t>
      </w:r>
      <w:r>
        <w:rPr>
          <w:spacing w:val="-6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harm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eGFR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rFonts w:ascii="Arial" w:hAnsi="Arial"/>
        </w:rPr>
        <w:t>−</w:t>
      </w:r>
      <w:r>
        <w:t>6.4</w:t>
      </w:r>
      <w:r>
        <w:rPr>
          <w:spacing w:val="-5"/>
        </w:rPr>
        <w:t xml:space="preserve"> </w:t>
      </w:r>
      <w:r>
        <w:t>mL/min/1.73</w:t>
      </w:r>
      <w:r>
        <w:rPr>
          <w:spacing w:val="-6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(95%</w:t>
      </w:r>
      <w:r>
        <w:rPr>
          <w:spacing w:val="-6"/>
        </w:rPr>
        <w:t xml:space="preserve"> </w:t>
      </w:r>
      <w:r>
        <w:t>CI,</w:t>
      </w:r>
      <w:r>
        <w:rPr>
          <w:spacing w:val="-6"/>
        </w:rPr>
        <w:t xml:space="preserve"> </w:t>
      </w:r>
      <w:r>
        <w:rPr>
          <w:rFonts w:ascii="Arial" w:hAnsi="Arial"/>
        </w:rPr>
        <w:t>−</w:t>
      </w:r>
      <w:r>
        <w:t>15.4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0.2;</w:t>
      </w:r>
      <w:proofErr w:type="gramEnd"/>
      <w:r>
        <w:rPr>
          <w:spacing w:val="-6"/>
        </w:rPr>
        <w:t xml:space="preserve"> </w:t>
      </w:r>
      <w:r>
        <w:rPr>
          <w:i/>
        </w:rPr>
        <w:t>P</w:t>
      </w:r>
      <w:r>
        <w:rPr>
          <w:i/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heterogeneity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.12).</w:t>
      </w:r>
    </w:p>
    <w:p w14:paraId="6CFEEF89" w14:textId="77777777" w:rsidR="00BD1C04" w:rsidRDefault="00BD1C04">
      <w:pPr>
        <w:pStyle w:val="BodyText"/>
        <w:spacing w:before="9"/>
        <w:ind w:left="0" w:right="0"/>
        <w:rPr>
          <w:sz w:val="32"/>
        </w:rPr>
      </w:pPr>
    </w:p>
    <w:p w14:paraId="0B385C19" w14:textId="77777777" w:rsidR="00BD1C04" w:rsidRDefault="00D56818">
      <w:pPr>
        <w:pStyle w:val="Heading1"/>
        <w:spacing w:before="1"/>
      </w:pPr>
      <w:r>
        <w:rPr>
          <w:color w:val="2E5C7C"/>
          <w:spacing w:val="-1"/>
          <w:w w:val="105"/>
        </w:rPr>
        <w:t>Validity</w:t>
      </w:r>
      <w:r>
        <w:rPr>
          <w:color w:val="2E5C7C"/>
          <w:spacing w:val="-14"/>
          <w:w w:val="105"/>
        </w:rPr>
        <w:t xml:space="preserve"> </w:t>
      </w:r>
      <w:r>
        <w:rPr>
          <w:color w:val="2E5C7C"/>
          <w:spacing w:val="-1"/>
          <w:w w:val="105"/>
        </w:rPr>
        <w:t>of</w:t>
      </w:r>
      <w:r>
        <w:rPr>
          <w:color w:val="2E5C7C"/>
          <w:spacing w:val="-5"/>
          <w:w w:val="105"/>
        </w:rPr>
        <w:t xml:space="preserve"> </w:t>
      </w:r>
      <w:r>
        <w:rPr>
          <w:color w:val="2E5C7C"/>
          <w:w w:val="105"/>
        </w:rPr>
        <w:t>Results:</w:t>
      </w:r>
    </w:p>
    <w:p w14:paraId="0C31F258" w14:textId="149B8824" w:rsidR="00BD1C04" w:rsidRDefault="00D56818">
      <w:pPr>
        <w:pStyle w:val="BodyText"/>
        <w:spacing w:before="125"/>
        <w:ind w:firstLine="720"/>
      </w:pPr>
      <w:r>
        <w:t>This study addressed a focused clinical question with objective and patient-centered</w:t>
      </w:r>
      <w:r>
        <w:rPr>
          <w:spacing w:val="1"/>
        </w:rPr>
        <w:t xml:space="preserve"> </w:t>
      </w:r>
      <w:r>
        <w:t>outcomes.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conflicts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authors.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that there were no significant differences between the patients who re</w:t>
      </w:r>
      <w:r>
        <w:t>ceived and did not receive</w:t>
      </w:r>
      <w:r>
        <w:rPr>
          <w:spacing w:val="1"/>
        </w:rPr>
        <w:t xml:space="preserve"> </w:t>
      </w:r>
      <w:r>
        <w:t>CTPA. There were more patients with cancer who underwent CTPA than did not (8% versus 3%), but</w:t>
      </w:r>
      <w:r>
        <w:rPr>
          <w:spacing w:val="-47"/>
        </w:rPr>
        <w:t xml:space="preserve"> </w:t>
      </w:r>
      <w:r>
        <w:t>this makes sense clinically as patients with malignancy are at higher risk of PE (and have a baseline</w:t>
      </w:r>
      <w:r>
        <w:rPr>
          <w:spacing w:val="1"/>
        </w:rPr>
        <w:t xml:space="preserve"> </w:t>
      </w:r>
      <w:r>
        <w:t>predisposition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D-dimer).</w:t>
      </w:r>
    </w:p>
    <w:p w14:paraId="732AC37A" w14:textId="77777777" w:rsidR="00BD1C04" w:rsidRDefault="00BD1C04">
      <w:pPr>
        <w:sectPr w:rsidR="00BD1C04">
          <w:pgSz w:w="11920" w:h="16840"/>
          <w:pgMar w:top="1400" w:right="0" w:bottom="280" w:left="1340" w:header="720" w:footer="720" w:gutter="0"/>
          <w:cols w:space="720"/>
        </w:sectPr>
      </w:pPr>
    </w:p>
    <w:p w14:paraId="4A9A1149" w14:textId="0EAFE40C" w:rsidR="00BD1C04" w:rsidRDefault="00D56818">
      <w:pPr>
        <w:pStyle w:val="BodyText"/>
        <w:spacing w:before="44"/>
        <w:ind w:firstLine="720"/>
      </w:pPr>
      <w:r>
        <w:lastRenderedPageBreak/>
        <w:t xml:space="preserve">Nearly half the patients lacked follow-up data. Outcomes were censored at 6 months and cannot project longer trajectories. </w:t>
      </w:r>
      <w:r>
        <w:t>The</w:t>
      </w:r>
      <w:r>
        <w:rPr>
          <w:spacing w:val="-7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complex,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assumption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validity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 xml:space="preserve">conclusions. </w:t>
      </w:r>
    </w:p>
    <w:p w14:paraId="13960200" w14:textId="77777777" w:rsidR="00BD1C04" w:rsidRDefault="00BD1C04">
      <w:pPr>
        <w:pStyle w:val="BodyText"/>
        <w:ind w:left="0" w:right="0"/>
      </w:pPr>
    </w:p>
    <w:p w14:paraId="7CD783BA" w14:textId="77777777" w:rsidR="00BD1C04" w:rsidRDefault="00BD1C04">
      <w:pPr>
        <w:pStyle w:val="BodyText"/>
        <w:spacing w:before="7"/>
        <w:ind w:left="0" w:right="0"/>
        <w:rPr>
          <w:sz w:val="20"/>
        </w:rPr>
      </w:pPr>
    </w:p>
    <w:p w14:paraId="72E56C94" w14:textId="77777777" w:rsidR="00BD1C04" w:rsidRDefault="00D56818">
      <w:pPr>
        <w:pStyle w:val="Heading1"/>
      </w:pPr>
      <w:r>
        <w:rPr>
          <w:color w:val="2E5C7C"/>
          <w:spacing w:val="-1"/>
          <w:w w:val="105"/>
        </w:rPr>
        <w:t>Generalizability</w:t>
      </w:r>
      <w:r>
        <w:rPr>
          <w:color w:val="2E5C7C"/>
          <w:spacing w:val="-13"/>
          <w:w w:val="105"/>
        </w:rPr>
        <w:t xml:space="preserve"> </w:t>
      </w:r>
      <w:r>
        <w:rPr>
          <w:color w:val="2E5C7C"/>
          <w:w w:val="105"/>
        </w:rPr>
        <w:t>of</w:t>
      </w:r>
      <w:r>
        <w:rPr>
          <w:color w:val="2E5C7C"/>
          <w:spacing w:val="-4"/>
          <w:w w:val="105"/>
        </w:rPr>
        <w:t xml:space="preserve"> </w:t>
      </w:r>
      <w:r>
        <w:rPr>
          <w:color w:val="2E5C7C"/>
          <w:w w:val="105"/>
        </w:rPr>
        <w:t>Results:</w:t>
      </w:r>
    </w:p>
    <w:p w14:paraId="5B039B26" w14:textId="13B69407" w:rsidR="00BD1C04" w:rsidRDefault="00D56818" w:rsidP="00D56818">
      <w:pPr>
        <w:pStyle w:val="BodyText"/>
        <w:spacing w:before="126"/>
        <w:ind w:firstLine="769"/>
      </w:pPr>
      <w:r>
        <w:t xml:space="preserve">This study was conducted using data </w:t>
      </w:r>
      <w:r>
        <w:t>from an Alberta</w:t>
      </w:r>
      <w:r>
        <w:t xml:space="preserve"> database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fuzzy RDD analysis limits treatment effect to those close to the cutoff</w:t>
      </w:r>
      <w:r>
        <w:t xml:space="preserve"> who are compliers. The</w:t>
      </w:r>
      <w:r>
        <w:rPr>
          <w:spacing w:val="1"/>
        </w:rPr>
        <w:t xml:space="preserve"> </w:t>
      </w:r>
      <w:r>
        <w:t xml:space="preserve">authors did complete a </w:t>
      </w:r>
      <w:proofErr w:type="spellStart"/>
      <w:r>
        <w:t>subanalysis</w:t>
      </w:r>
      <w:proofErr w:type="spellEnd"/>
      <w:r>
        <w:t xml:space="preserve"> and found no heterogeneity in treatment effect between</w:t>
      </w:r>
      <w:r>
        <w:rPr>
          <w:spacing w:val="1"/>
        </w:rPr>
        <w:t xml:space="preserve"> </w:t>
      </w:r>
      <w:r>
        <w:t>compliers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>-</w:t>
      </w:r>
      <w:r>
        <w:t>compliers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generalizability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clustered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 xml:space="preserve">the </w:t>
      </w:r>
      <w:r>
        <w:t>D-dimer</w:t>
      </w:r>
      <w:r>
        <w:rPr>
          <w:spacing w:val="-6"/>
        </w:rPr>
        <w:t xml:space="preserve"> </w:t>
      </w:r>
      <w:r>
        <w:t>cut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off.</w:t>
      </w:r>
    </w:p>
    <w:p w14:paraId="3463EBA7" w14:textId="5E59812B" w:rsidR="00BD1C04" w:rsidRDefault="00D56818">
      <w:pPr>
        <w:pStyle w:val="BodyText"/>
        <w:spacing w:before="120"/>
        <w:ind w:firstLine="720"/>
      </w:pPr>
      <w:r>
        <w:t>The results appear generalizable given the characteristics of the cohort and appropriate</w:t>
      </w:r>
      <w:r>
        <w:rPr>
          <w:spacing w:val="1"/>
        </w:rPr>
        <w:t xml:space="preserve"> </w:t>
      </w:r>
      <w:r>
        <w:t>subgroup analyses, in particular</w:t>
      </w:r>
      <w:r>
        <w:t xml:space="preserve"> those with eGFR &lt; 45 mL/min/1.73 m</w:t>
      </w:r>
      <w:r>
        <w:rPr>
          <w:vertAlign w:val="superscript"/>
        </w:rPr>
        <w:t>2</w:t>
      </w:r>
      <w:r>
        <w:t xml:space="preserve"> who are typically thought to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kidney</w:t>
      </w:r>
      <w:r>
        <w:rPr>
          <w:spacing w:val="-6"/>
        </w:rPr>
        <w:t xml:space="preserve"> </w:t>
      </w:r>
      <w:r>
        <w:t>impairment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iatrogenic</w:t>
      </w:r>
      <w:r>
        <w:rPr>
          <w:spacing w:val="-6"/>
        </w:rPr>
        <w:t xml:space="preserve"> </w:t>
      </w:r>
      <w:r>
        <w:t>insult.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27%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underwent</w:t>
      </w:r>
      <w:r>
        <w:rPr>
          <w:spacing w:val="1"/>
        </w:rPr>
        <w:t xml:space="preserve"> </w:t>
      </w:r>
      <w:r>
        <w:t>repeat eGFR testing within 7 days of the index visit, so data regarding AKI is limited. Patients who</w:t>
      </w:r>
      <w:r>
        <w:rPr>
          <w:spacing w:val="1"/>
        </w:rPr>
        <w:t xml:space="preserve"> </w:t>
      </w:r>
      <w:r>
        <w:t>underwent</w:t>
      </w:r>
      <w:r>
        <w:rPr>
          <w:spacing w:val="-7"/>
        </w:rPr>
        <w:t xml:space="preserve"> </w:t>
      </w:r>
      <w:r>
        <w:t>repeat</w:t>
      </w:r>
      <w:r>
        <w:rPr>
          <w:spacing w:val="-7"/>
        </w:rPr>
        <w:t xml:space="preserve"> </w:t>
      </w:r>
      <w:r>
        <w:t>eGFR</w:t>
      </w:r>
      <w:r>
        <w:rPr>
          <w:spacing w:val="-7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clinicians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perceived</w:t>
      </w:r>
      <w:r>
        <w:rPr>
          <w:spacing w:val="-7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AKI,</w:t>
      </w:r>
      <w:r>
        <w:rPr>
          <w:spacing w:val="1"/>
        </w:rPr>
        <w:t xml:space="preserve"> </w:t>
      </w:r>
      <w:r>
        <w:t>thus there is potential for selection bias for highe</w:t>
      </w:r>
      <w:r>
        <w:t xml:space="preserve">r risk patients in this analysis. </w:t>
      </w:r>
    </w:p>
    <w:p w14:paraId="78544041" w14:textId="77777777" w:rsidR="00BD1C04" w:rsidRDefault="00BD1C04">
      <w:pPr>
        <w:pStyle w:val="BodyText"/>
        <w:ind w:left="0" w:right="0"/>
      </w:pPr>
    </w:p>
    <w:p w14:paraId="5331EE9B" w14:textId="77777777" w:rsidR="00BD1C04" w:rsidRDefault="00BD1C04">
      <w:pPr>
        <w:pStyle w:val="BodyText"/>
        <w:spacing w:before="8"/>
        <w:ind w:left="0" w:right="0"/>
        <w:rPr>
          <w:sz w:val="20"/>
        </w:rPr>
      </w:pPr>
    </w:p>
    <w:p w14:paraId="3D9B86DA" w14:textId="77777777" w:rsidR="00BD1C04" w:rsidRDefault="00D56818">
      <w:pPr>
        <w:pStyle w:val="Heading1"/>
        <w:jc w:val="both"/>
      </w:pPr>
      <w:r>
        <w:rPr>
          <w:color w:val="2E5C7C"/>
          <w:w w:val="105"/>
        </w:rPr>
        <w:t>The</w:t>
      </w:r>
      <w:r>
        <w:rPr>
          <w:color w:val="2E5C7C"/>
          <w:spacing w:val="-2"/>
          <w:w w:val="105"/>
        </w:rPr>
        <w:t xml:space="preserve"> </w:t>
      </w:r>
      <w:r>
        <w:rPr>
          <w:color w:val="2E5C7C"/>
          <w:w w:val="105"/>
        </w:rPr>
        <w:t>Bottom</w:t>
      </w:r>
      <w:r>
        <w:rPr>
          <w:color w:val="2E5C7C"/>
          <w:spacing w:val="-1"/>
          <w:w w:val="105"/>
        </w:rPr>
        <w:t xml:space="preserve"> </w:t>
      </w:r>
      <w:r>
        <w:rPr>
          <w:color w:val="2E5C7C"/>
          <w:w w:val="105"/>
        </w:rPr>
        <w:t>Line:</w:t>
      </w:r>
    </w:p>
    <w:p w14:paraId="6631DF85" w14:textId="0BEAB3DC" w:rsidR="00BD1C04" w:rsidRDefault="00D56818" w:rsidP="00D56818">
      <w:pPr>
        <w:pStyle w:val="BodyText"/>
        <w:spacing w:before="126"/>
        <w:ind w:firstLine="720"/>
      </w:pP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retrospective</w:t>
      </w:r>
      <w:r>
        <w:rPr>
          <w:spacing w:val="-10"/>
        </w:rPr>
        <w:t xml:space="preserve"> </w:t>
      </w:r>
      <w:r>
        <w:t>cohort</w:t>
      </w:r>
      <w:r>
        <w:rPr>
          <w:spacing w:val="-11"/>
        </w:rPr>
        <w:t xml:space="preserve"> </w:t>
      </w:r>
      <w:r>
        <w:t>study,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between IV contrast exposure from CTPA and 6-month</w:t>
      </w:r>
      <w:r>
        <w:t xml:space="preserve"> renal impairment. There was also no</w:t>
      </w:r>
      <w:r>
        <w:rPr>
          <w:spacing w:val="1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contrast</w:t>
      </w:r>
      <w:r>
        <w:rPr>
          <w:spacing w:val="-8"/>
        </w:rPr>
        <w:t xml:space="preserve"> </w:t>
      </w:r>
      <w:r>
        <w:t>exposure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AKI,</w:t>
      </w:r>
      <w:r>
        <w:rPr>
          <w:spacing w:val="-8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renal</w:t>
      </w:r>
      <w:r>
        <w:rPr>
          <w:spacing w:val="-9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t>therapy</w:t>
      </w:r>
      <w:r>
        <w:rPr>
          <w:spacing w:val="-9"/>
        </w:rPr>
        <w:t xml:space="preserve"> </w:t>
      </w:r>
      <w:r>
        <w:t xml:space="preserve">or </w:t>
      </w:r>
      <w:r>
        <w:t>all-cause</w:t>
      </w:r>
      <w:r>
        <w:rPr>
          <w:spacing w:val="-8"/>
        </w:rPr>
        <w:t xml:space="preserve"> </w:t>
      </w:r>
      <w:r>
        <w:t>mortality.</w:t>
      </w:r>
      <w:r>
        <w:rPr>
          <w:spacing w:val="-8"/>
        </w:rPr>
        <w:t xml:space="preserve"> </w:t>
      </w:r>
    </w:p>
    <w:p w14:paraId="2258D56C" w14:textId="77777777" w:rsidR="00BD1C04" w:rsidRDefault="00D56818">
      <w:pPr>
        <w:pStyle w:val="BodyText"/>
        <w:spacing w:before="120"/>
        <w:ind w:firstLine="720"/>
      </w:pPr>
      <w:r>
        <w:t>This design is presented as being analogous to an RCT and their subsequent analyses of</w:t>
      </w:r>
      <w:r>
        <w:rPr>
          <w:spacing w:val="1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confounders</w:t>
      </w:r>
      <w:r>
        <w:rPr>
          <w:spacing w:val="-11"/>
        </w:rPr>
        <w:t xml:space="preserve"> </w:t>
      </w:r>
      <w:r>
        <w:t>supports</w:t>
      </w:r>
      <w:r>
        <w:rPr>
          <w:spacing w:val="-11"/>
        </w:rPr>
        <w:t xml:space="preserve"> </w:t>
      </w:r>
      <w:r>
        <w:t>this.</w:t>
      </w:r>
      <w:r>
        <w:rPr>
          <w:spacing w:val="-11"/>
        </w:rPr>
        <w:t xml:space="preserve"> </w:t>
      </w:r>
      <w:r>
        <w:t>However,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complex</w:t>
      </w:r>
      <w:r>
        <w:rPr>
          <w:spacing w:val="-11"/>
        </w:rPr>
        <w:t xml:space="preserve"> </w:t>
      </w:r>
      <w:r>
        <w:t>statistical</w:t>
      </w:r>
      <w:r>
        <w:rPr>
          <w:spacing w:val="-11"/>
        </w:rPr>
        <w:t xml:space="preserve"> </w:t>
      </w:r>
      <w:r>
        <w:t>design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difficult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interpret</w:t>
      </w:r>
      <w:r>
        <w:rPr>
          <w:spacing w:val="1"/>
        </w:rPr>
        <w:t xml:space="preserve"> </w:t>
      </w:r>
      <w:r>
        <w:t>and requires reliance on the design integrit</w:t>
      </w:r>
      <w:r>
        <w:t>y in making these conclusions. This study design is</w:t>
      </w:r>
      <w:r>
        <w:rPr>
          <w:spacing w:val="1"/>
        </w:rPr>
        <w:t xml:space="preserve"> </w:t>
      </w:r>
      <w:r>
        <w:t>presented as being less biased and less methodologically flawed than previous studies which</w:t>
      </w:r>
      <w:r>
        <w:rPr>
          <w:spacing w:val="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conclusions.</w:t>
      </w:r>
    </w:p>
    <w:p w14:paraId="45005D7C" w14:textId="697E9F91" w:rsidR="00BD1C04" w:rsidRDefault="00D56818">
      <w:pPr>
        <w:pStyle w:val="BodyText"/>
        <w:spacing w:before="120"/>
        <w:ind w:firstLine="720"/>
      </w:pPr>
      <w:r>
        <w:t>Overall,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refutes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theoretical</w:t>
      </w:r>
      <w:r>
        <w:rPr>
          <w:spacing w:val="-8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contrast</w:t>
      </w:r>
      <w:r>
        <w:rPr>
          <w:spacing w:val="-7"/>
        </w:rPr>
        <w:t xml:space="preserve"> </w:t>
      </w:r>
      <w:r>
        <w:t>CT</w:t>
      </w:r>
      <w:r>
        <w:rPr>
          <w:spacing w:val="1"/>
        </w:rPr>
        <w:t xml:space="preserve"> </w:t>
      </w:r>
      <w:r>
        <w:t>scans placing</w:t>
      </w:r>
      <w:r>
        <w:t xml:space="preserve"> </w:t>
      </w:r>
      <w:r>
        <w:t>patients at risk of renal impairment.</w:t>
      </w:r>
    </w:p>
    <w:sectPr w:rsidR="00BD1C04">
      <w:pgSz w:w="11920" w:h="16840"/>
      <w:pgMar w:top="140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04"/>
    <w:rsid w:val="001779BB"/>
    <w:rsid w:val="007C2BA1"/>
    <w:rsid w:val="00BD1C04"/>
    <w:rsid w:val="00D56818"/>
    <w:rsid w:val="00F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DBA27"/>
  <w15:docId w15:val="{417C4BBA-B988-9043-9018-6E4683EA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1473"/>
    </w:pPr>
  </w:style>
  <w:style w:type="paragraph" w:styleId="Title">
    <w:name w:val="Title"/>
    <w:basedOn w:val="Normal"/>
    <w:uiPriority w:val="10"/>
    <w:qFormat/>
    <w:pPr>
      <w:spacing w:before="131"/>
      <w:ind w:left="291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Appraisal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Appraisal</dc:title>
  <cp:lastModifiedBy>Frank Scheuermeyer</cp:lastModifiedBy>
  <cp:revision>2</cp:revision>
  <dcterms:created xsi:type="dcterms:W3CDTF">2021-06-15T02:59:00Z</dcterms:created>
  <dcterms:modified xsi:type="dcterms:W3CDTF">2021-06-15T02:59:00Z</dcterms:modified>
</cp:coreProperties>
</file>