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269F5" w:rsidRDefault="00E63D03">
      <w:pPr>
        <w:spacing w:after="120" w:line="240" w:lineRule="auto"/>
      </w:pPr>
      <w:r>
        <w:rPr>
          <w:noProof/>
        </w:rPr>
        <w:drawing>
          <wp:inline distT="0" distB="0" distL="0" distR="0">
            <wp:extent cx="1828800" cy="170078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00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4269F5" w:rsidRDefault="00E63D03">
      <w:pPr>
        <w:spacing w:after="120" w:line="240" w:lineRule="auto"/>
        <w:jc w:val="center"/>
        <w:rPr>
          <w:rFonts w:ascii="PT Sans" w:eastAsia="PT Sans" w:hAnsi="PT Sans" w:cs="PT Sans"/>
          <w:color w:val="2F5D7C"/>
          <w:sz w:val="48"/>
          <w:szCs w:val="48"/>
        </w:rPr>
      </w:pPr>
      <w:r>
        <w:rPr>
          <w:rFonts w:ascii="PT Sans" w:eastAsia="PT Sans" w:hAnsi="PT Sans" w:cs="PT Sans"/>
          <w:color w:val="2F5D7C"/>
          <w:sz w:val="48"/>
          <w:szCs w:val="48"/>
        </w:rPr>
        <w:t>Article Appraisal</w:t>
      </w:r>
    </w:p>
    <w:p w14:paraId="00000003" w14:textId="77777777" w:rsidR="004269F5" w:rsidRDefault="004269F5">
      <w:pPr>
        <w:spacing w:after="120" w:line="240" w:lineRule="auto"/>
        <w:jc w:val="center"/>
        <w:rPr>
          <w:rFonts w:ascii="PT Sans" w:eastAsia="PT Sans" w:hAnsi="PT Sans" w:cs="PT Sans"/>
          <w:color w:val="2F5D7C"/>
          <w:sz w:val="48"/>
          <w:szCs w:val="48"/>
        </w:rPr>
      </w:pPr>
    </w:p>
    <w:p w14:paraId="16B997F5" w14:textId="58CE3CD1" w:rsidR="007B7E94" w:rsidRPr="007B7E94" w:rsidRDefault="00E63D03" w:rsidP="007B7E94">
      <w:pPr>
        <w:spacing w:after="120" w:line="240" w:lineRule="auto"/>
        <w:rPr>
          <w:color w:val="434343"/>
          <w:lang w:val="en-CA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Article: </w:t>
      </w:r>
      <w:r>
        <w:rPr>
          <w:color w:val="808080"/>
        </w:rPr>
        <w:t xml:space="preserve"> </w:t>
      </w:r>
      <w:r w:rsidR="007B7E94" w:rsidRPr="007B7E94">
        <w:rPr>
          <w:bCs/>
          <w:color w:val="434343"/>
          <w:lang w:val="en-CA"/>
        </w:rPr>
        <w:t xml:space="preserve">Single vs Serial Measurements of Cardiac Troponin Level in the Evaluation of Patients in the Emergency Department </w:t>
      </w:r>
      <w:proofErr w:type="gramStart"/>
      <w:r w:rsidR="007B7E94" w:rsidRPr="007B7E94">
        <w:rPr>
          <w:bCs/>
          <w:color w:val="434343"/>
          <w:lang w:val="en-CA"/>
        </w:rPr>
        <w:t>With</w:t>
      </w:r>
      <w:proofErr w:type="gramEnd"/>
      <w:r w:rsidR="007B7E94" w:rsidRPr="007B7E94">
        <w:rPr>
          <w:bCs/>
          <w:color w:val="434343"/>
          <w:lang w:val="en-CA"/>
        </w:rPr>
        <w:t xml:space="preserve"> Suspected Acute Myocardial Infarction</w:t>
      </w:r>
    </w:p>
    <w:p w14:paraId="00000004" w14:textId="690755A9" w:rsidR="004269F5" w:rsidRDefault="004269F5">
      <w:pPr>
        <w:spacing w:after="120" w:line="240" w:lineRule="auto"/>
        <w:rPr>
          <w:rFonts w:ascii="PT Sans" w:eastAsia="PT Sans" w:hAnsi="PT Sans" w:cs="PT Sans"/>
          <w:b/>
          <w:color w:val="434343"/>
          <w:sz w:val="24"/>
          <w:szCs w:val="24"/>
        </w:rPr>
      </w:pPr>
    </w:p>
    <w:p w14:paraId="00000005" w14:textId="1801F596" w:rsidR="004269F5" w:rsidRDefault="00E63D03">
      <w:pPr>
        <w:spacing w:after="120" w:line="240" w:lineRule="auto"/>
        <w:rPr>
          <w:rFonts w:ascii="PT Sans" w:eastAsia="PT Sans" w:hAnsi="PT Sans" w:cs="PT Sans"/>
          <w:color w:val="434343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Date of Journal Club: </w:t>
      </w:r>
      <w:r>
        <w:rPr>
          <w:rFonts w:ascii="PT Sans" w:eastAsia="PT Sans" w:hAnsi="PT Sans" w:cs="PT Sans"/>
          <w:color w:val="2F5D7C"/>
          <w:sz w:val="24"/>
          <w:szCs w:val="24"/>
        </w:rPr>
        <w:t xml:space="preserve">  </w:t>
      </w:r>
      <w:r w:rsidR="007B7E94">
        <w:rPr>
          <w:color w:val="434343"/>
        </w:rPr>
        <w:t>18 May 2021</w:t>
      </w:r>
    </w:p>
    <w:p w14:paraId="00000006" w14:textId="367A31D2" w:rsidR="004269F5" w:rsidRDefault="00E63D03">
      <w:pPr>
        <w:spacing w:after="120" w:line="240" w:lineRule="auto"/>
        <w:rPr>
          <w:rFonts w:ascii="PT Sans" w:eastAsia="PT Sans" w:hAnsi="PT Sans" w:cs="PT Sans"/>
          <w:color w:val="434343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Resident Reviewer Name(s) and Residency Affiliation:  </w:t>
      </w:r>
      <w:r>
        <w:rPr>
          <w:rFonts w:ascii="PT Sans" w:eastAsia="PT Sans" w:hAnsi="PT Sans" w:cs="PT Sans"/>
          <w:color w:val="2F5D7C"/>
          <w:sz w:val="24"/>
          <w:szCs w:val="24"/>
        </w:rPr>
        <w:t xml:space="preserve">  </w:t>
      </w:r>
      <w:r w:rsidR="007B7E94">
        <w:rPr>
          <w:color w:val="434343"/>
        </w:rPr>
        <w:t xml:space="preserve">Amol </w:t>
      </w:r>
      <w:proofErr w:type="spellStart"/>
      <w:r w:rsidR="007B7E94">
        <w:rPr>
          <w:color w:val="434343"/>
        </w:rPr>
        <w:t>Lail</w:t>
      </w:r>
      <w:proofErr w:type="spellEnd"/>
      <w:r w:rsidR="007B7E94">
        <w:rPr>
          <w:color w:val="434343"/>
        </w:rPr>
        <w:t xml:space="preserve"> CCFP-EM</w:t>
      </w:r>
    </w:p>
    <w:p w14:paraId="00000007" w14:textId="254D5841" w:rsidR="004269F5" w:rsidRPr="007B7E94" w:rsidRDefault="00E63D03" w:rsidP="007B7E94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Faculty Methodology/Bio-statistics Resource Person: </w:t>
      </w:r>
      <w:r>
        <w:rPr>
          <w:rFonts w:ascii="PT Sans" w:eastAsia="PT Sans" w:hAnsi="PT Sans" w:cs="PT Sans"/>
          <w:color w:val="2F5D7C"/>
          <w:sz w:val="24"/>
          <w:szCs w:val="24"/>
        </w:rPr>
        <w:t xml:space="preserve">  </w:t>
      </w:r>
      <w:r w:rsidR="007B7E94" w:rsidRPr="007B7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Dr Brubache</w:t>
      </w:r>
      <w:r w:rsidR="007B7E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r</w:t>
      </w:r>
    </w:p>
    <w:p w14:paraId="00000008" w14:textId="77777777" w:rsidR="004269F5" w:rsidRDefault="00E63D03">
      <w:pPr>
        <w:spacing w:after="12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629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5E86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629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4269F5" w:rsidRDefault="004269F5">
      <w:pPr>
        <w:spacing w:after="120" w:line="240" w:lineRule="auto"/>
        <w:rPr>
          <w:rFonts w:ascii="PT Sans" w:eastAsia="PT Sans" w:hAnsi="PT Sans" w:cs="PT Sans"/>
          <w:color w:val="2F5D7C"/>
          <w:sz w:val="24"/>
          <w:szCs w:val="24"/>
        </w:rPr>
      </w:pPr>
    </w:p>
    <w:p w14:paraId="645223C3" w14:textId="68B9B809" w:rsidR="007B7E94" w:rsidRPr="007B7E94" w:rsidRDefault="00E63D03" w:rsidP="00860DEC">
      <w:pPr>
        <w:spacing w:after="120" w:line="240" w:lineRule="auto"/>
        <w:rPr>
          <w:lang w:val="en-CA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Background and Study Objective(s): </w:t>
      </w:r>
      <w:r w:rsidR="00860DEC" w:rsidRPr="00860DEC">
        <w:rPr>
          <w:lang w:val="en-CA"/>
        </w:rPr>
        <w:t xml:space="preserve">Chest pain is a common ED presentation, and a key goal is ruling out acute coronary syndromes. (ACS) Cardiac biomarkers are critical, but it is uncertain whether single or sequential biomarkers can be used. </w:t>
      </w:r>
      <w:r w:rsidR="007B7E94" w:rsidRPr="007B7E94">
        <w:rPr>
          <w:lang w:val="en-CA"/>
        </w:rPr>
        <w:t xml:space="preserve">This study </w:t>
      </w:r>
      <w:r w:rsidR="00860DEC">
        <w:rPr>
          <w:lang w:val="en-CA"/>
        </w:rPr>
        <w:t>inquired</w:t>
      </w:r>
      <w:r w:rsidR="007B7E94" w:rsidRPr="007B7E94">
        <w:rPr>
          <w:lang w:val="en-CA"/>
        </w:rPr>
        <w:t xml:space="preserve"> a patient be </w:t>
      </w:r>
      <w:r w:rsidR="00860DEC">
        <w:rPr>
          <w:lang w:val="en-CA"/>
        </w:rPr>
        <w:t xml:space="preserve">safely </w:t>
      </w:r>
      <w:r w:rsidR="007B7E94" w:rsidRPr="007B7E94">
        <w:rPr>
          <w:lang w:val="en-CA"/>
        </w:rPr>
        <w:t>discharged after a single negative troponin</w:t>
      </w:r>
      <w:r w:rsidR="00860DEC">
        <w:rPr>
          <w:lang w:val="en-CA"/>
        </w:rPr>
        <w:t>.</w:t>
      </w:r>
    </w:p>
    <w:p w14:paraId="0000000D" w14:textId="77777777" w:rsidR="004269F5" w:rsidRDefault="004269F5">
      <w:pPr>
        <w:spacing w:after="120" w:line="240" w:lineRule="auto"/>
      </w:pPr>
    </w:p>
    <w:p w14:paraId="5C98C022" w14:textId="6A57DC5F" w:rsidR="007B7E94" w:rsidRPr="007B7E94" w:rsidRDefault="00E63D03" w:rsidP="00860DEC">
      <w:pPr>
        <w:spacing w:after="120" w:line="240" w:lineRule="auto"/>
        <w:rPr>
          <w:lang w:val="en-CA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Study Design: </w:t>
      </w:r>
      <w:r w:rsidR="00860DEC" w:rsidRPr="00860DEC">
        <w:rPr>
          <w:lang w:val="en-US"/>
        </w:rPr>
        <w:t>This involved 15 community EDs in California and used a single administrative database from 2015 – 2017. Consecutive chest pain patients with at least one troponin were collected; each was also evaluated with the HEART score. Patients with an initial elevated troponin or those with do-not-resuscitate orders were excluded. Patients with a single troponin were compared to those with sequential troponins.</w:t>
      </w:r>
      <w:r w:rsidR="00860DEC">
        <w:rPr>
          <w:rFonts w:ascii="PT Sans" w:eastAsia="PT Sans" w:hAnsi="PT Sans" w:cs="PT Sans"/>
          <w:b/>
          <w:color w:val="2F5D7C"/>
          <w:sz w:val="24"/>
          <w:szCs w:val="24"/>
        </w:rPr>
        <w:t xml:space="preserve"> </w:t>
      </w:r>
      <w:r w:rsidR="00860DEC">
        <w:rPr>
          <w:lang w:val="en-US"/>
        </w:rPr>
        <w:t xml:space="preserve">Primary outcome was 30-day myocardial infarction or </w:t>
      </w:r>
      <w:r w:rsidR="008A6D76">
        <w:rPr>
          <w:lang w:val="en-US"/>
        </w:rPr>
        <w:t xml:space="preserve">cardiovascular </w:t>
      </w:r>
      <w:r w:rsidR="00860DEC">
        <w:rPr>
          <w:lang w:val="en-US"/>
        </w:rPr>
        <w:t xml:space="preserve">death following ED discharge; secondary outcomes included revascularization or a new diagnosis of unstable angina. </w:t>
      </w:r>
      <w:r w:rsidR="008A6D76">
        <w:rPr>
          <w:lang w:val="en-US"/>
        </w:rPr>
        <w:t>Outcomes were adjusted by comorbidities.</w:t>
      </w:r>
    </w:p>
    <w:p w14:paraId="489FF31C" w14:textId="77777777" w:rsidR="007B7E94" w:rsidRPr="007B7E94" w:rsidRDefault="007B7E94" w:rsidP="007B7E94">
      <w:pPr>
        <w:spacing w:after="120" w:line="240" w:lineRule="auto"/>
        <w:rPr>
          <w:lang w:val="en-CA"/>
        </w:rPr>
      </w:pPr>
    </w:p>
    <w:p w14:paraId="72CC2946" w14:textId="77540BE8" w:rsidR="007B7E94" w:rsidRPr="007B7E94" w:rsidRDefault="00E63D03" w:rsidP="008A6D76">
      <w:pPr>
        <w:spacing w:after="120" w:line="240" w:lineRule="auto"/>
        <w:rPr>
          <w:lang w:val="en-CA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Results:  </w:t>
      </w:r>
      <w:r w:rsidR="00860DEC" w:rsidRPr="008A6D76">
        <w:rPr>
          <w:lang w:val="en-CA"/>
        </w:rPr>
        <w:t>Overall, the study collected 27 918 patients</w:t>
      </w:r>
      <w:r w:rsidR="008A6D76" w:rsidRPr="008A6D76">
        <w:rPr>
          <w:lang w:val="en-CA"/>
        </w:rPr>
        <w:t>, of whom 14 459 (52%) had a single troponin. The single-troponin group was younger and had fewer comorbidities. Both groups had 0.4% 30-day MI or mortality, with no difference in adjusted odds ratios.</w:t>
      </w:r>
      <w:r w:rsidR="008A6D76">
        <w:rPr>
          <w:lang w:val="en-CA"/>
        </w:rPr>
        <w:t xml:space="preserve"> (</w:t>
      </w:r>
      <w:r w:rsidR="007B7E94" w:rsidRPr="007B7E94">
        <w:rPr>
          <w:lang w:val="en-CA"/>
        </w:rPr>
        <w:t>1.41 [95% CI, 0.96-2.07])</w:t>
      </w:r>
      <w:r w:rsidR="008A6D76">
        <w:rPr>
          <w:lang w:val="en-CA"/>
        </w:rPr>
        <w:t xml:space="preserve"> Patients in the single-troponin group had lower </w:t>
      </w:r>
      <w:r w:rsidR="007B7E94" w:rsidRPr="007B7E94">
        <w:rPr>
          <w:lang w:val="en-CA"/>
        </w:rPr>
        <w:t xml:space="preserve">adjusted rates of </w:t>
      </w:r>
      <w:r w:rsidR="008A6D76">
        <w:rPr>
          <w:lang w:val="en-CA"/>
        </w:rPr>
        <w:t>CABG</w:t>
      </w:r>
      <w:r w:rsidR="007B7E94" w:rsidRPr="007B7E94">
        <w:rPr>
          <w:lang w:val="en-CA"/>
        </w:rPr>
        <w:t xml:space="preserve"> (OR, 0.24 [95% CI, 0.11-0.48]) and </w:t>
      </w:r>
      <w:r w:rsidR="008A6D76">
        <w:rPr>
          <w:lang w:val="en-CA"/>
        </w:rPr>
        <w:t>invasive angiography</w:t>
      </w:r>
      <w:r w:rsidR="007B7E94" w:rsidRPr="007B7E94">
        <w:rPr>
          <w:lang w:val="en-CA"/>
        </w:rPr>
        <w:t xml:space="preserve"> (OR, 0.46 [95% CI, 0.38-0.56]). However, there was no statistically significant difference between the groups in the rates of percutaneous coronary intervention (OR, 0.73, [95% CI, 0.44-1.18]) and unstable angina (OR, 1.05 [95% CI, 0.76-1.44]) </w:t>
      </w:r>
    </w:p>
    <w:p w14:paraId="00000018" w14:textId="77777777" w:rsidR="004269F5" w:rsidRDefault="004269F5">
      <w:pPr>
        <w:spacing w:after="120" w:line="240" w:lineRule="auto"/>
        <w:ind w:firstLine="720"/>
      </w:pPr>
    </w:p>
    <w:p w14:paraId="00000019" w14:textId="3D6A4F4B" w:rsidR="004269F5" w:rsidRDefault="007B7E94">
      <w:pPr>
        <w:spacing w:after="120" w:line="240" w:lineRule="auto"/>
        <w:rPr>
          <w:rFonts w:ascii="PT Sans" w:eastAsia="PT Sans" w:hAnsi="PT Sans" w:cs="PT Sans"/>
          <w:b/>
          <w:color w:val="2F5D7C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>Strengths</w:t>
      </w:r>
      <w:r w:rsidR="008A6D76">
        <w:rPr>
          <w:rFonts w:ascii="PT Sans" w:eastAsia="PT Sans" w:hAnsi="PT Sans" w:cs="PT Sans"/>
          <w:b/>
          <w:color w:val="2F5D7C"/>
          <w:sz w:val="24"/>
          <w:szCs w:val="24"/>
        </w:rPr>
        <w:t xml:space="preserve"> and limitations</w:t>
      </w:r>
      <w:r>
        <w:rPr>
          <w:rFonts w:ascii="PT Sans" w:eastAsia="PT Sans" w:hAnsi="PT Sans" w:cs="PT Sans"/>
          <w:b/>
          <w:color w:val="2F5D7C"/>
          <w:sz w:val="24"/>
          <w:szCs w:val="24"/>
        </w:rPr>
        <w:t>:</w:t>
      </w:r>
      <w:r w:rsidR="008A6D76">
        <w:rPr>
          <w:rFonts w:ascii="PT Sans" w:eastAsia="PT Sans" w:hAnsi="PT Sans" w:cs="PT Sans"/>
          <w:b/>
          <w:color w:val="2F5D7C"/>
          <w:sz w:val="24"/>
          <w:szCs w:val="24"/>
        </w:rPr>
        <w:t xml:space="preserve"> </w:t>
      </w:r>
      <w:r w:rsidR="008A6D76" w:rsidRPr="008A6D76">
        <w:rPr>
          <w:lang w:val="en-CA"/>
        </w:rPr>
        <w:t xml:space="preserve">This </w:t>
      </w:r>
      <w:proofErr w:type="gramStart"/>
      <w:r w:rsidR="008A6D76" w:rsidRPr="008A6D76">
        <w:rPr>
          <w:lang w:val="en-CA"/>
        </w:rPr>
        <w:t>was</w:t>
      </w:r>
      <w:proofErr w:type="gramEnd"/>
      <w:r w:rsidR="008A6D76" w:rsidRPr="008A6D76">
        <w:rPr>
          <w:lang w:val="en-CA"/>
        </w:rPr>
        <w:t xml:space="preserve"> a large population with complete follow-up.</w:t>
      </w:r>
      <w:r w:rsidR="008A6D76">
        <w:rPr>
          <w:lang w:val="en-CA"/>
        </w:rPr>
        <w:t xml:space="preserve"> However, unmeasured confounders, including timing of symptom onset, history, and EKG characteristics, substantially limit the ability to </w:t>
      </w:r>
      <w:r w:rsidR="008A6D76">
        <w:rPr>
          <w:lang w:val="en-CA"/>
        </w:rPr>
        <w:lastRenderedPageBreak/>
        <w:t xml:space="preserve">draw conclusions. Even statistical techniques cannot “balance” the two groups. Causality cannot be assumed from this study. </w:t>
      </w:r>
      <w:r w:rsidR="008A6D76">
        <w:rPr>
          <w:rFonts w:ascii="PT Sans" w:eastAsia="PT Sans" w:hAnsi="PT Sans" w:cs="PT Sans"/>
          <w:b/>
          <w:color w:val="2F5D7C"/>
          <w:sz w:val="24"/>
          <w:szCs w:val="24"/>
        </w:rPr>
        <w:t xml:space="preserve"> </w:t>
      </w:r>
    </w:p>
    <w:p w14:paraId="400BCA7F" w14:textId="77777777" w:rsidR="002A19BB" w:rsidRPr="002A19BB" w:rsidRDefault="002A19BB" w:rsidP="008A6D76">
      <w:pPr>
        <w:spacing w:after="120" w:line="240" w:lineRule="auto"/>
        <w:rPr>
          <w:lang w:val="en-CA"/>
        </w:rPr>
      </w:pPr>
    </w:p>
    <w:p w14:paraId="00000023" w14:textId="1A6BC17F" w:rsidR="004269F5" w:rsidRPr="007B7E94" w:rsidRDefault="00E63D03" w:rsidP="007B7E94">
      <w:pPr>
        <w:spacing w:after="120" w:line="240" w:lineRule="auto"/>
        <w:rPr>
          <w:rFonts w:ascii="PT Sans" w:eastAsia="PT Sans" w:hAnsi="PT Sans" w:cs="PT Sans"/>
          <w:b/>
          <w:color w:val="2F5D7C"/>
          <w:sz w:val="24"/>
          <w:szCs w:val="24"/>
        </w:rPr>
      </w:pPr>
      <w:r>
        <w:rPr>
          <w:rFonts w:ascii="PT Sans" w:eastAsia="PT Sans" w:hAnsi="PT Sans" w:cs="PT Sans"/>
          <w:b/>
          <w:color w:val="2F5D7C"/>
          <w:sz w:val="24"/>
          <w:szCs w:val="24"/>
        </w:rPr>
        <w:t xml:space="preserve">The Bottom Line: </w:t>
      </w:r>
      <w:r w:rsidR="008A6D76" w:rsidRPr="008A6D76">
        <w:rPr>
          <w:lang w:val="en-CA"/>
        </w:rPr>
        <w:t>While this large study is interesting, the substantial differences between the single- and sequential-troponin groups likely limit applicability at this time.</w:t>
      </w:r>
      <w:r w:rsidR="008A6D76">
        <w:rPr>
          <w:rFonts w:ascii="PT Sans" w:eastAsia="PT Sans" w:hAnsi="PT Sans" w:cs="PT Sans"/>
          <w:b/>
          <w:color w:val="2F5D7C"/>
          <w:sz w:val="24"/>
          <w:szCs w:val="24"/>
        </w:rPr>
        <w:t xml:space="preserve"> </w:t>
      </w:r>
    </w:p>
    <w:p w14:paraId="484BAC17" w14:textId="77777777" w:rsidR="007B7E94" w:rsidRDefault="007B7E94" w:rsidP="007B7E94">
      <w:pPr>
        <w:spacing w:after="120" w:line="240" w:lineRule="auto"/>
      </w:pPr>
    </w:p>
    <w:sectPr w:rsidR="007B7E94">
      <w:foot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10AE" w14:textId="77777777" w:rsidR="00086F48" w:rsidRDefault="00086F48">
      <w:pPr>
        <w:spacing w:after="0" w:line="240" w:lineRule="auto"/>
      </w:pPr>
      <w:r>
        <w:separator/>
      </w:r>
    </w:p>
  </w:endnote>
  <w:endnote w:type="continuationSeparator" w:id="0">
    <w:p w14:paraId="7868BD3A" w14:textId="77777777" w:rsidR="00086F48" w:rsidRDefault="0008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5128CC41" w:rsidR="004269F5" w:rsidRDefault="00E63D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7E94">
      <w:rPr>
        <w:noProof/>
        <w:color w:val="000000"/>
      </w:rPr>
      <w:t>1</w:t>
    </w:r>
    <w:r>
      <w:rPr>
        <w:color w:val="000000"/>
      </w:rPr>
      <w:fldChar w:fldCharType="end"/>
    </w:r>
  </w:p>
  <w:p w14:paraId="00000025" w14:textId="77777777" w:rsidR="004269F5" w:rsidRDefault="004269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89D44" w14:textId="77777777" w:rsidR="00086F48" w:rsidRDefault="00086F48">
      <w:pPr>
        <w:spacing w:after="0" w:line="240" w:lineRule="auto"/>
      </w:pPr>
      <w:r>
        <w:separator/>
      </w:r>
    </w:p>
  </w:footnote>
  <w:footnote w:type="continuationSeparator" w:id="0">
    <w:p w14:paraId="3265EDB0" w14:textId="77777777" w:rsidR="00086F48" w:rsidRDefault="0008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6A6"/>
    <w:multiLevelType w:val="hybridMultilevel"/>
    <w:tmpl w:val="2F3C865A"/>
    <w:lvl w:ilvl="0" w:tplc="8EA8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2C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8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1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6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0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A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A5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F5DB5"/>
    <w:multiLevelType w:val="hybridMultilevel"/>
    <w:tmpl w:val="820EF682"/>
    <w:lvl w:ilvl="0" w:tplc="6F860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47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5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46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41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4F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4D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C9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6E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B30039"/>
    <w:multiLevelType w:val="hybridMultilevel"/>
    <w:tmpl w:val="6F50D9F0"/>
    <w:lvl w:ilvl="0" w:tplc="694C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A7D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A3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6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68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8F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28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E4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D132B7"/>
    <w:multiLevelType w:val="hybridMultilevel"/>
    <w:tmpl w:val="A1E2C398"/>
    <w:lvl w:ilvl="0" w:tplc="2AB24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3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2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CC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E1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A4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C1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C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BF7162"/>
    <w:multiLevelType w:val="hybridMultilevel"/>
    <w:tmpl w:val="15060980"/>
    <w:lvl w:ilvl="0" w:tplc="CB506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8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AC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67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2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05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4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0B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8C0FB8"/>
    <w:multiLevelType w:val="hybridMultilevel"/>
    <w:tmpl w:val="74869CC4"/>
    <w:lvl w:ilvl="0" w:tplc="8B501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64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EE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8C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C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7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0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84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FA7E06"/>
    <w:multiLevelType w:val="hybridMultilevel"/>
    <w:tmpl w:val="10307292"/>
    <w:lvl w:ilvl="0" w:tplc="BB4E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6A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6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EA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8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41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A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A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F51882"/>
    <w:multiLevelType w:val="hybridMultilevel"/>
    <w:tmpl w:val="F6BAE3A4"/>
    <w:lvl w:ilvl="0" w:tplc="B622B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2C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E6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68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9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09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E8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6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0A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6E3F0E"/>
    <w:multiLevelType w:val="hybridMultilevel"/>
    <w:tmpl w:val="660A100C"/>
    <w:lvl w:ilvl="0" w:tplc="01C4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0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6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F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0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EC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2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A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A22F6E"/>
    <w:multiLevelType w:val="hybridMultilevel"/>
    <w:tmpl w:val="906AADA8"/>
    <w:lvl w:ilvl="0" w:tplc="8824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C4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4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C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0E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E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25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4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A500A7"/>
    <w:multiLevelType w:val="hybridMultilevel"/>
    <w:tmpl w:val="75E2EA0A"/>
    <w:lvl w:ilvl="0" w:tplc="272C2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2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E3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E3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AA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4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80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E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EB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031AD6"/>
    <w:multiLevelType w:val="hybridMultilevel"/>
    <w:tmpl w:val="61F80546"/>
    <w:lvl w:ilvl="0" w:tplc="C2C4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E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8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02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02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E6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E1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F5"/>
    <w:rsid w:val="00086F48"/>
    <w:rsid w:val="002A19BB"/>
    <w:rsid w:val="004269F5"/>
    <w:rsid w:val="007B7E94"/>
    <w:rsid w:val="00860DEC"/>
    <w:rsid w:val="008A6D76"/>
    <w:rsid w:val="0099456C"/>
    <w:rsid w:val="00E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441D4"/>
  <w15:docId w15:val="{7019A9A2-EC97-9B4D-950F-13E2D74D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7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Scheuermeyer</cp:lastModifiedBy>
  <cp:revision>2</cp:revision>
  <dcterms:created xsi:type="dcterms:W3CDTF">2021-06-20T05:33:00Z</dcterms:created>
  <dcterms:modified xsi:type="dcterms:W3CDTF">2021-06-20T05:33:00Z</dcterms:modified>
</cp:coreProperties>
</file>